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63" w:rsidRPr="008F0246" w:rsidRDefault="00496963" w:rsidP="00496963">
      <w:pPr>
        <w:pStyle w:val="NoSpacing1"/>
        <w:ind w:right="-766"/>
        <w:jc w:val="right"/>
        <w:rPr>
          <w:rFonts w:ascii="Times New Roman" w:hAnsi="Times New Roman"/>
        </w:rPr>
      </w:pPr>
      <w:r w:rsidRPr="008F0246">
        <w:rPr>
          <w:rFonts w:ascii="Times New Roman" w:hAnsi="Times New Roman"/>
        </w:rPr>
        <w:t xml:space="preserve">Atklāta konkursa </w:t>
      </w:r>
      <w:r w:rsidR="00590366" w:rsidRPr="008F0246">
        <w:rPr>
          <w:rFonts w:ascii="Times New Roman" w:hAnsi="Times New Roman"/>
        </w:rPr>
        <w:t>PSIA Ādažu slimnīca 2017/1</w:t>
      </w:r>
    </w:p>
    <w:p w:rsidR="00496963" w:rsidRPr="008F0246" w:rsidRDefault="00496963" w:rsidP="00496963">
      <w:pPr>
        <w:pStyle w:val="NoSpacing1"/>
        <w:ind w:right="-766"/>
        <w:jc w:val="right"/>
        <w:rPr>
          <w:rFonts w:ascii="Times New Roman" w:hAnsi="Times New Roman"/>
        </w:rPr>
      </w:pPr>
      <w:r w:rsidRPr="008F0246">
        <w:rPr>
          <w:rFonts w:ascii="Times New Roman" w:hAnsi="Times New Roman"/>
        </w:rPr>
        <w:t xml:space="preserve">nolikuma </w:t>
      </w:r>
      <w:r w:rsidR="00C4242C" w:rsidRPr="008F0246">
        <w:rPr>
          <w:rFonts w:ascii="Times New Roman" w:hAnsi="Times New Roman"/>
          <w:b/>
        </w:rPr>
        <w:t>4</w:t>
      </w:r>
      <w:r w:rsidRPr="008F0246">
        <w:rPr>
          <w:rFonts w:ascii="Times New Roman" w:hAnsi="Times New Roman"/>
          <w:b/>
        </w:rPr>
        <w:t>.</w:t>
      </w:r>
      <w:r w:rsidR="00590366" w:rsidRPr="008F0246">
        <w:rPr>
          <w:rFonts w:ascii="Times New Roman" w:hAnsi="Times New Roman"/>
          <w:b/>
        </w:rPr>
        <w:t> </w:t>
      </w:r>
      <w:r w:rsidRPr="008F0246">
        <w:rPr>
          <w:rFonts w:ascii="Times New Roman" w:hAnsi="Times New Roman"/>
          <w:b/>
        </w:rPr>
        <w:t>pielikums</w:t>
      </w:r>
    </w:p>
    <w:p w:rsidR="00496963" w:rsidRPr="008F0246" w:rsidRDefault="00496963" w:rsidP="00496963">
      <w:pPr>
        <w:pStyle w:val="Title"/>
        <w:tabs>
          <w:tab w:val="left" w:pos="-567"/>
        </w:tabs>
        <w:rPr>
          <w:sz w:val="22"/>
          <w:szCs w:val="22"/>
          <w:u w:val="none"/>
        </w:rPr>
      </w:pPr>
    </w:p>
    <w:p w:rsidR="000D0CB6" w:rsidRPr="008F0246" w:rsidRDefault="000D0CB6" w:rsidP="00496963">
      <w:pPr>
        <w:pStyle w:val="Title"/>
        <w:tabs>
          <w:tab w:val="left" w:pos="-567"/>
        </w:tabs>
        <w:rPr>
          <w:sz w:val="22"/>
          <w:szCs w:val="22"/>
          <w:u w:val="none"/>
        </w:rPr>
      </w:pPr>
      <w:r w:rsidRPr="008F0246">
        <w:rPr>
          <w:sz w:val="22"/>
          <w:szCs w:val="22"/>
          <w:u w:val="none"/>
        </w:rPr>
        <w:t>PRASĪBAS PIEDĀVĀJUMA NOFORMĒŠANAI UN IESNIEGŠANAI</w:t>
      </w:r>
    </w:p>
    <w:p w:rsidR="00496963" w:rsidRPr="008F0246" w:rsidRDefault="00496963" w:rsidP="000D0CB6">
      <w:pPr>
        <w:pStyle w:val="NoSpacing1"/>
      </w:pPr>
    </w:p>
    <w:tbl>
      <w:tblPr>
        <w:tblW w:w="9498" w:type="dxa"/>
        <w:tblInd w:w="-426" w:type="dxa"/>
        <w:tblLook w:val="04A0" w:firstRow="1" w:lastRow="0" w:firstColumn="1" w:lastColumn="0" w:noHBand="0" w:noVBand="1"/>
      </w:tblPr>
      <w:tblGrid>
        <w:gridCol w:w="9498"/>
      </w:tblGrid>
      <w:tr w:rsidR="000D0CB6" w:rsidRPr="008F0246" w:rsidTr="00496963">
        <w:tc>
          <w:tcPr>
            <w:tcW w:w="9498" w:type="dxa"/>
            <w:shd w:val="clear" w:color="auto" w:fill="auto"/>
          </w:tcPr>
          <w:p w:rsidR="000D0CB6" w:rsidRPr="008F0246" w:rsidRDefault="000D0CB6" w:rsidP="00496963">
            <w:pPr>
              <w:pStyle w:val="BodyText"/>
              <w:numPr>
                <w:ilvl w:val="0"/>
                <w:numId w:val="1"/>
              </w:numPr>
              <w:ind w:left="460"/>
              <w:jc w:val="both"/>
              <w:rPr>
                <w:sz w:val="22"/>
                <w:szCs w:val="22"/>
              </w:rPr>
            </w:pPr>
            <w:r w:rsidRPr="008F0246">
              <w:rPr>
                <w:sz w:val="22"/>
                <w:szCs w:val="22"/>
              </w:rPr>
              <w:t>Piedāvājums jāiesniedz elektroniski Elektronisko iepirkumu sistēmas e-konkursu apakšsistēmā, ievērojot šādas Pretendenta izvēles iespējas:</w:t>
            </w:r>
          </w:p>
          <w:p w:rsidR="000D0CB6" w:rsidRPr="008F0246" w:rsidRDefault="000D0CB6" w:rsidP="00496963">
            <w:pPr>
              <w:pStyle w:val="BodyText"/>
              <w:numPr>
                <w:ilvl w:val="1"/>
                <w:numId w:val="1"/>
              </w:numPr>
              <w:tabs>
                <w:tab w:val="left" w:pos="746"/>
              </w:tabs>
              <w:ind w:left="885"/>
              <w:jc w:val="both"/>
              <w:rPr>
                <w:sz w:val="22"/>
                <w:szCs w:val="22"/>
              </w:rPr>
            </w:pPr>
            <w:r w:rsidRPr="008F0246">
              <w:rPr>
                <w:sz w:val="22"/>
                <w:szCs w:val="22"/>
              </w:rPr>
              <w:t>izmantojot Elektronisko iepirkumu sistēmas e-konkursu apakšsistēmas piedāvātos rīkus, aizpildot minētās sistēmas e-konkursu apakšsistēmā šā iepirkuma sadaļā ievietotās formas;</w:t>
            </w:r>
          </w:p>
          <w:p w:rsidR="000D0CB6" w:rsidRPr="008F0246" w:rsidRDefault="000D0CB6" w:rsidP="00496963">
            <w:pPr>
              <w:pStyle w:val="BodyText"/>
              <w:numPr>
                <w:ilvl w:val="1"/>
                <w:numId w:val="1"/>
              </w:numPr>
              <w:tabs>
                <w:tab w:val="left" w:pos="746"/>
              </w:tabs>
              <w:ind w:left="885"/>
              <w:jc w:val="both"/>
              <w:rPr>
                <w:sz w:val="22"/>
                <w:szCs w:val="22"/>
              </w:rPr>
            </w:pPr>
            <w:r w:rsidRPr="008F0246">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0D0CB6" w:rsidRPr="008F0246" w:rsidRDefault="000D0CB6" w:rsidP="00496963">
            <w:pPr>
              <w:pStyle w:val="BodyText"/>
              <w:numPr>
                <w:ilvl w:val="1"/>
                <w:numId w:val="1"/>
              </w:numPr>
              <w:tabs>
                <w:tab w:val="left" w:pos="746"/>
              </w:tabs>
              <w:ind w:left="885"/>
              <w:jc w:val="both"/>
              <w:rPr>
                <w:sz w:val="22"/>
                <w:szCs w:val="22"/>
              </w:rPr>
            </w:pPr>
            <w:r w:rsidRPr="008F0246">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0D0CB6" w:rsidRPr="008F0246" w:rsidRDefault="000D0CB6" w:rsidP="008E61C5">
            <w:pPr>
              <w:pStyle w:val="BodyText"/>
              <w:tabs>
                <w:tab w:val="left" w:pos="746"/>
              </w:tabs>
              <w:ind w:left="1398"/>
              <w:jc w:val="both"/>
              <w:rPr>
                <w:sz w:val="22"/>
                <w:szCs w:val="22"/>
              </w:rPr>
            </w:pPr>
          </w:p>
        </w:tc>
      </w:tr>
      <w:tr w:rsidR="000D0CB6" w:rsidRPr="008F0246" w:rsidTr="00496963">
        <w:tc>
          <w:tcPr>
            <w:tcW w:w="9498" w:type="dxa"/>
            <w:shd w:val="clear" w:color="auto" w:fill="auto"/>
          </w:tcPr>
          <w:p w:rsidR="000D0CB6" w:rsidRPr="008F0246" w:rsidRDefault="000D0CB6" w:rsidP="00496963">
            <w:pPr>
              <w:pStyle w:val="BodyText"/>
              <w:numPr>
                <w:ilvl w:val="0"/>
                <w:numId w:val="1"/>
              </w:numPr>
              <w:tabs>
                <w:tab w:val="left" w:pos="74"/>
              </w:tabs>
              <w:ind w:left="460" w:hanging="386"/>
              <w:jc w:val="both"/>
              <w:rPr>
                <w:sz w:val="22"/>
                <w:szCs w:val="22"/>
              </w:rPr>
            </w:pPr>
            <w:r w:rsidRPr="008F0246">
              <w:rPr>
                <w:sz w:val="22"/>
                <w:szCs w:val="22"/>
              </w:rPr>
              <w:t xml:space="preserve">Piedāvājumā jāiekļauj nolikuma </w:t>
            </w:r>
            <w:r w:rsidR="00496963" w:rsidRPr="008F0246">
              <w:rPr>
                <w:sz w:val="22"/>
                <w:szCs w:val="22"/>
              </w:rPr>
              <w:t>2</w:t>
            </w:r>
            <w:r w:rsidRPr="008F0246">
              <w:rPr>
                <w:sz w:val="22"/>
                <w:szCs w:val="22"/>
              </w:rPr>
              <w:t>.</w:t>
            </w:r>
            <w:r w:rsidR="00590366" w:rsidRPr="008F0246">
              <w:rPr>
                <w:sz w:val="22"/>
                <w:szCs w:val="22"/>
              </w:rPr>
              <w:t> </w:t>
            </w:r>
            <w:r w:rsidRPr="008F0246">
              <w:rPr>
                <w:sz w:val="22"/>
                <w:szCs w:val="22"/>
              </w:rPr>
              <w:t>sadaļā noteiktie dokumenti.</w:t>
            </w:r>
          </w:p>
          <w:p w:rsidR="000D0CB6" w:rsidRPr="008F0246" w:rsidRDefault="000D0CB6" w:rsidP="008E61C5">
            <w:pPr>
              <w:pStyle w:val="BodyText"/>
              <w:tabs>
                <w:tab w:val="left" w:pos="746"/>
              </w:tabs>
              <w:ind w:left="746"/>
              <w:jc w:val="both"/>
              <w:rPr>
                <w:sz w:val="22"/>
                <w:szCs w:val="22"/>
              </w:rPr>
            </w:pPr>
          </w:p>
        </w:tc>
      </w:tr>
      <w:tr w:rsidR="000D0CB6" w:rsidRPr="008F0246" w:rsidTr="00496963">
        <w:tc>
          <w:tcPr>
            <w:tcW w:w="9498" w:type="dxa"/>
            <w:shd w:val="clear" w:color="auto" w:fill="auto"/>
          </w:tcPr>
          <w:p w:rsidR="000D0CB6" w:rsidRPr="008F0246" w:rsidRDefault="000D0CB6" w:rsidP="00496963">
            <w:pPr>
              <w:pStyle w:val="ListParagraph"/>
              <w:numPr>
                <w:ilvl w:val="0"/>
                <w:numId w:val="1"/>
              </w:numPr>
              <w:tabs>
                <w:tab w:val="left" w:pos="0"/>
              </w:tabs>
              <w:spacing w:after="0"/>
              <w:ind w:left="460" w:hanging="426"/>
              <w:jc w:val="both"/>
              <w:rPr>
                <w:rFonts w:ascii="Times New Roman" w:hAnsi="Times New Roman"/>
              </w:rPr>
            </w:pPr>
            <w:r w:rsidRPr="008F0246">
              <w:rPr>
                <w:rFonts w:ascii="Times New Roman" w:hAnsi="Times New Roman"/>
              </w:rPr>
              <w:t>Sagatavojot piedāvājumu, Pretendents ievēro, ka:</w:t>
            </w:r>
          </w:p>
          <w:p w:rsidR="000D0CB6" w:rsidRPr="008F0246" w:rsidRDefault="000D0CB6" w:rsidP="00496963">
            <w:pPr>
              <w:pStyle w:val="ListParagraph"/>
              <w:numPr>
                <w:ilvl w:val="1"/>
                <w:numId w:val="1"/>
              </w:numPr>
              <w:tabs>
                <w:tab w:val="left" w:pos="0"/>
              </w:tabs>
              <w:spacing w:after="0" w:line="240" w:lineRule="auto"/>
              <w:ind w:left="885" w:hanging="403"/>
              <w:jc w:val="both"/>
              <w:rPr>
                <w:rFonts w:ascii="Times New Roman" w:hAnsi="Times New Roman"/>
              </w:rPr>
            </w:pPr>
            <w:r w:rsidRPr="008F0246">
              <w:rPr>
                <w:rFonts w:ascii="Times New Roman" w:hAnsi="Times New Roman"/>
              </w:rPr>
              <w:t>Pieteikuma veidlapa, tehniskais un finanšu piedāvājums jāaizpilda tikai elektroniski, atsevišķā elektroniskā dokumentā ar Microsoft Office 2010 (vai vēlākas programmatūras versijas) rīkiem lasāmā formātā;</w:t>
            </w:r>
          </w:p>
          <w:p w:rsidR="000D0CB6" w:rsidRPr="008F0246" w:rsidRDefault="00C4242C" w:rsidP="00496963">
            <w:pPr>
              <w:pStyle w:val="ListParagraph"/>
              <w:numPr>
                <w:ilvl w:val="1"/>
                <w:numId w:val="1"/>
              </w:numPr>
              <w:tabs>
                <w:tab w:val="left" w:pos="0"/>
              </w:tabs>
              <w:spacing w:after="0" w:line="240" w:lineRule="auto"/>
              <w:ind w:left="885" w:hanging="403"/>
              <w:jc w:val="both"/>
              <w:rPr>
                <w:rFonts w:ascii="Times New Roman" w:hAnsi="Times New Roman"/>
              </w:rPr>
            </w:pPr>
            <w:r w:rsidRPr="008F0246">
              <w:rPr>
                <w:rFonts w:ascii="Times New Roman" w:hAnsi="Times New Roman"/>
              </w:rPr>
              <w:t>pilnībā aizpildīta tehniskā un finanšu p</w:t>
            </w:r>
            <w:r w:rsidR="000D0CB6" w:rsidRPr="008F0246">
              <w:rPr>
                <w:rFonts w:ascii="Times New Roman" w:hAnsi="Times New Roman"/>
              </w:rPr>
              <w:t>iedāvājuma forma (</w:t>
            </w:r>
            <w:r w:rsidRPr="008F0246">
              <w:rPr>
                <w:rFonts w:ascii="Times New Roman" w:hAnsi="Times New Roman"/>
              </w:rPr>
              <w:t>nolikuma 2</w:t>
            </w:r>
            <w:r w:rsidR="00590366" w:rsidRPr="008F0246">
              <w:rPr>
                <w:rFonts w:ascii="Times New Roman" w:hAnsi="Times New Roman"/>
              </w:rPr>
              <w:t> </w:t>
            </w:r>
            <w:r w:rsidR="000D0CB6" w:rsidRPr="008F0246">
              <w:rPr>
                <w:rFonts w:ascii="Times New Roman" w:hAnsi="Times New Roman"/>
              </w:rPr>
              <w:t>pielikums), nemainot Pasūtītāja not</w:t>
            </w:r>
            <w:r w:rsidR="003E1CEF" w:rsidRPr="008F0246">
              <w:rPr>
                <w:rFonts w:ascii="Times New Roman" w:hAnsi="Times New Roman"/>
              </w:rPr>
              <w:t>eikto secību un pozīciju skaitu</w:t>
            </w:r>
            <w:r w:rsidR="000D0CB6" w:rsidRPr="008F0246">
              <w:rPr>
                <w:rFonts w:ascii="Times New Roman" w:hAnsi="Times New Roman"/>
              </w:rPr>
              <w:t xml:space="preserve">; </w:t>
            </w:r>
          </w:p>
          <w:p w:rsidR="000D0CB6" w:rsidRPr="008F0246" w:rsidRDefault="000D0CB6" w:rsidP="00496963">
            <w:pPr>
              <w:pStyle w:val="ListParagraph"/>
              <w:numPr>
                <w:ilvl w:val="1"/>
                <w:numId w:val="1"/>
              </w:numPr>
              <w:tabs>
                <w:tab w:val="left" w:pos="0"/>
              </w:tabs>
              <w:spacing w:after="0" w:line="240" w:lineRule="auto"/>
              <w:ind w:left="885" w:hanging="403"/>
              <w:jc w:val="both"/>
              <w:rPr>
                <w:rFonts w:ascii="Times New Roman" w:hAnsi="Times New Roman"/>
              </w:rPr>
            </w:pPr>
            <w:r w:rsidRPr="008F0246">
              <w:rPr>
                <w:rFonts w:ascii="Times New Roman" w:hAnsi="Times New Roman"/>
              </w:rPr>
              <w:t>Iesniedzot piedāvājumu, Pretendents ar drošu elektronisko parakstu un laika zīmogu paraksta vismaz Pieteikuma dalībai atklātā konkursā  formu (nolikuma 1.</w:t>
            </w:r>
            <w:r w:rsidR="00590366" w:rsidRPr="008F0246">
              <w:rPr>
                <w:rFonts w:ascii="Times New Roman" w:hAnsi="Times New Roman"/>
              </w:rPr>
              <w:t> </w:t>
            </w:r>
            <w:r w:rsidRPr="008F0246">
              <w:rPr>
                <w:rFonts w:ascii="Times New Roman" w:hAnsi="Times New Roman"/>
              </w:rPr>
              <w:t xml:space="preserve">pielikums), </w:t>
            </w:r>
            <w:r w:rsidR="00C4242C" w:rsidRPr="008F0246">
              <w:rPr>
                <w:rFonts w:ascii="Times New Roman" w:hAnsi="Times New Roman"/>
              </w:rPr>
              <w:t>Tehnisko un f</w:t>
            </w:r>
            <w:r w:rsidRPr="008F0246">
              <w:rPr>
                <w:rFonts w:ascii="Times New Roman" w:hAnsi="Times New Roman"/>
              </w:rPr>
              <w:t>inanšu piedāvājuma formu (nolikuma 2</w:t>
            </w:r>
            <w:r w:rsidR="00590366" w:rsidRPr="008F0246">
              <w:rPr>
                <w:rFonts w:ascii="Times New Roman" w:hAnsi="Times New Roman"/>
              </w:rPr>
              <w:t> </w:t>
            </w:r>
            <w:r w:rsidR="00C4242C" w:rsidRPr="008F0246">
              <w:rPr>
                <w:rFonts w:ascii="Times New Roman" w:hAnsi="Times New Roman"/>
              </w:rPr>
              <w:t>pielikums)</w:t>
            </w:r>
            <w:r w:rsidRPr="008F0246">
              <w:rPr>
                <w:rFonts w:ascii="Times New Roman" w:hAnsi="Times New Roman"/>
              </w:rPr>
              <w:t>. D</w:t>
            </w:r>
            <w:r w:rsidRPr="008F0246">
              <w:rPr>
                <w:rFonts w:ascii="Times New Roman" w:hAnsi="Times New Roman"/>
                <w:bCs/>
              </w:rPr>
              <w:t>okumentus paraksta pretendenta paraksttiesīga amatpersona vai pilnvarota persona. Ja dokumentus paraksta pilnvarotā persona, piedāvājumam pievieno attiecīgās pilnvaras apliecinātu kopiju, ko pievieno pretendenta atlases dokumentiem</w:t>
            </w:r>
            <w:r w:rsidRPr="008F0246">
              <w:rPr>
                <w:rFonts w:ascii="Times New Roman" w:hAnsi="Times New Roman"/>
              </w:rPr>
              <w:t>;</w:t>
            </w:r>
          </w:p>
          <w:p w:rsidR="000D0CB6" w:rsidRPr="008F0246" w:rsidRDefault="000D0CB6" w:rsidP="00496963">
            <w:pPr>
              <w:pStyle w:val="ListParagraph"/>
              <w:numPr>
                <w:ilvl w:val="1"/>
                <w:numId w:val="1"/>
              </w:numPr>
              <w:tabs>
                <w:tab w:val="left" w:pos="0"/>
              </w:tabs>
              <w:spacing w:after="0" w:line="240" w:lineRule="auto"/>
              <w:ind w:left="885" w:hanging="403"/>
              <w:jc w:val="both"/>
              <w:rPr>
                <w:rFonts w:ascii="Times New Roman" w:hAnsi="Times New Roman"/>
              </w:rPr>
            </w:pPr>
            <w:r w:rsidRPr="008F0246">
              <w:rPr>
                <w:rFonts w:ascii="Times New Roman" w:hAnsi="Times New Roman"/>
              </w:rPr>
              <w:t>Citus dokumentus Pretendents pēc saviem ieskatiem ir tiesīgs iesniegt elektroniskā formā, gan parakstot ar Elektronisko iepirkumu sistēmas piedāvāto elektronisko parakstu, gan parakstot ar drošu elektronisko parakstu.</w:t>
            </w:r>
          </w:p>
          <w:p w:rsidR="000D0CB6" w:rsidRPr="008F0246" w:rsidRDefault="000D0CB6" w:rsidP="008E61C5">
            <w:pPr>
              <w:pStyle w:val="ListParagraph"/>
              <w:tabs>
                <w:tab w:val="left" w:pos="0"/>
              </w:tabs>
              <w:spacing w:after="0" w:line="240" w:lineRule="auto"/>
              <w:ind w:left="1395"/>
              <w:jc w:val="both"/>
              <w:rPr>
                <w:rFonts w:ascii="Times New Roman" w:hAnsi="Times New Roman"/>
              </w:rPr>
            </w:pPr>
          </w:p>
        </w:tc>
      </w:tr>
      <w:tr w:rsidR="000D0CB6" w:rsidRPr="008F0246" w:rsidTr="00496963">
        <w:trPr>
          <w:trHeight w:val="552"/>
        </w:trPr>
        <w:tc>
          <w:tcPr>
            <w:tcW w:w="9498" w:type="dxa"/>
            <w:shd w:val="clear" w:color="auto" w:fill="auto"/>
          </w:tcPr>
          <w:p w:rsidR="000D0CB6" w:rsidRPr="008F0246" w:rsidRDefault="000D0CB6" w:rsidP="00496963">
            <w:pPr>
              <w:pStyle w:val="ListParagraph"/>
              <w:numPr>
                <w:ilvl w:val="0"/>
                <w:numId w:val="1"/>
              </w:numPr>
              <w:spacing w:after="0" w:line="240" w:lineRule="auto"/>
              <w:ind w:left="460" w:hanging="357"/>
              <w:rPr>
                <w:rFonts w:ascii="Times New Roman" w:eastAsia="Times New Roman" w:hAnsi="Times New Roman"/>
              </w:rPr>
            </w:pPr>
            <w:r w:rsidRPr="008F0246">
              <w:rPr>
                <w:rFonts w:ascii="Times New Roman" w:eastAsia="Times New Roman" w:hAnsi="Times New Roman"/>
              </w:rPr>
              <w:t>Pretendents drīkst iesniegt tikai vienu piedāvājuma variantu. Ja pretendents iesniegs vairākus piedāvājuma variantus, tie visi tiks atzīti par nederīgiem.</w:t>
            </w:r>
          </w:p>
          <w:p w:rsidR="000D0CB6" w:rsidRPr="008F0246" w:rsidRDefault="000D0CB6" w:rsidP="008E61C5">
            <w:pPr>
              <w:pStyle w:val="ListParagraph"/>
              <w:spacing w:after="0" w:line="240" w:lineRule="auto"/>
              <w:ind w:left="714"/>
              <w:rPr>
                <w:rFonts w:ascii="Times New Roman" w:eastAsia="Times New Roman" w:hAnsi="Times New Roman"/>
              </w:rPr>
            </w:pPr>
          </w:p>
        </w:tc>
      </w:tr>
      <w:tr w:rsidR="000D0CB6" w:rsidRPr="008F0246" w:rsidTr="00496963">
        <w:trPr>
          <w:trHeight w:val="546"/>
        </w:trPr>
        <w:tc>
          <w:tcPr>
            <w:tcW w:w="9498" w:type="dxa"/>
            <w:shd w:val="clear" w:color="auto" w:fill="auto"/>
          </w:tcPr>
          <w:p w:rsidR="000D0CB6" w:rsidRPr="008F0246" w:rsidRDefault="000D0CB6" w:rsidP="00496963">
            <w:pPr>
              <w:pStyle w:val="BodyText"/>
              <w:numPr>
                <w:ilvl w:val="0"/>
                <w:numId w:val="1"/>
              </w:numPr>
              <w:tabs>
                <w:tab w:val="left" w:pos="103"/>
              </w:tabs>
              <w:ind w:left="460" w:hanging="357"/>
              <w:jc w:val="both"/>
              <w:rPr>
                <w:sz w:val="22"/>
                <w:szCs w:val="22"/>
              </w:rPr>
            </w:pPr>
            <w:r w:rsidRPr="008F0246">
              <w:rPr>
                <w:sz w:val="22"/>
                <w:szCs w:val="22"/>
              </w:rPr>
              <w:t xml:space="preserve">Pretendentam jāiesniedz dokumenti, kas aizpildīti atbilstoši nolikumam klāt pievienoto veidlapu formai. </w:t>
            </w:r>
          </w:p>
          <w:p w:rsidR="000D0CB6" w:rsidRPr="008F0246" w:rsidRDefault="000D0CB6" w:rsidP="008E61C5">
            <w:pPr>
              <w:pStyle w:val="BodyText"/>
              <w:tabs>
                <w:tab w:val="left" w:pos="746"/>
              </w:tabs>
              <w:ind w:left="720"/>
              <w:jc w:val="both"/>
              <w:rPr>
                <w:sz w:val="22"/>
                <w:szCs w:val="22"/>
              </w:rPr>
            </w:pPr>
          </w:p>
        </w:tc>
      </w:tr>
      <w:tr w:rsidR="000D0CB6" w:rsidRPr="008F0246" w:rsidTr="00496963">
        <w:tc>
          <w:tcPr>
            <w:tcW w:w="9498" w:type="dxa"/>
            <w:shd w:val="clear" w:color="auto" w:fill="auto"/>
          </w:tcPr>
          <w:p w:rsidR="000D0CB6" w:rsidRPr="008F0246" w:rsidRDefault="000D0CB6" w:rsidP="00496963">
            <w:pPr>
              <w:pStyle w:val="BodyText"/>
              <w:numPr>
                <w:ilvl w:val="0"/>
                <w:numId w:val="1"/>
              </w:numPr>
              <w:tabs>
                <w:tab w:val="left" w:pos="34"/>
              </w:tabs>
              <w:ind w:left="460" w:hanging="426"/>
              <w:jc w:val="both"/>
              <w:rPr>
                <w:sz w:val="22"/>
                <w:szCs w:val="22"/>
              </w:rPr>
            </w:pPr>
            <w:r w:rsidRPr="008F0246">
              <w:rPr>
                <w:sz w:val="22"/>
                <w:szCs w:val="22"/>
              </w:rPr>
              <w:t xml:space="preserve">Visām izmaksām piedāvājumā jābūt uzrādītām </w:t>
            </w:r>
            <w:proofErr w:type="spellStart"/>
            <w:r w:rsidRPr="008F0246">
              <w:rPr>
                <w:i/>
                <w:sz w:val="22"/>
                <w:szCs w:val="22"/>
              </w:rPr>
              <w:t>euro</w:t>
            </w:r>
            <w:proofErr w:type="spellEnd"/>
            <w:r w:rsidRPr="008F0246">
              <w:rPr>
                <w:sz w:val="22"/>
                <w:szCs w:val="22"/>
              </w:rPr>
              <w:t xml:space="preserve"> (EUR), noapaļojot līdz 2 (</w:t>
            </w:r>
            <w:r w:rsidRPr="008F0246">
              <w:rPr>
                <w:i/>
                <w:sz w:val="22"/>
                <w:szCs w:val="22"/>
              </w:rPr>
              <w:t>diviem</w:t>
            </w:r>
            <w:r w:rsidRPr="008F0246">
              <w:rPr>
                <w:sz w:val="22"/>
                <w:szCs w:val="22"/>
              </w:rPr>
              <w:t>) cipariem aiz komata.</w:t>
            </w:r>
          </w:p>
          <w:p w:rsidR="000D0CB6" w:rsidRPr="008F0246" w:rsidRDefault="000D0CB6" w:rsidP="008E61C5">
            <w:pPr>
              <w:pStyle w:val="BodyText"/>
              <w:tabs>
                <w:tab w:val="left" w:pos="746"/>
              </w:tabs>
              <w:ind w:left="720"/>
              <w:jc w:val="both"/>
              <w:rPr>
                <w:sz w:val="22"/>
                <w:szCs w:val="22"/>
              </w:rPr>
            </w:pPr>
          </w:p>
        </w:tc>
      </w:tr>
      <w:tr w:rsidR="000D0CB6" w:rsidRPr="008F0246" w:rsidTr="00496963">
        <w:tc>
          <w:tcPr>
            <w:tcW w:w="9498" w:type="dxa"/>
            <w:shd w:val="clear" w:color="auto" w:fill="auto"/>
          </w:tcPr>
          <w:p w:rsidR="000D0CB6" w:rsidRPr="008F0246" w:rsidRDefault="000D0CB6" w:rsidP="00496963">
            <w:pPr>
              <w:pStyle w:val="BodyText"/>
              <w:numPr>
                <w:ilvl w:val="0"/>
                <w:numId w:val="1"/>
              </w:numPr>
              <w:ind w:left="460" w:hanging="357"/>
              <w:jc w:val="both"/>
              <w:rPr>
                <w:rFonts w:eastAsia="Helvetica"/>
                <w:sz w:val="22"/>
                <w:szCs w:val="22"/>
              </w:rPr>
            </w:pPr>
            <w:r w:rsidRPr="008F0246">
              <w:rPr>
                <w:sz w:val="22"/>
                <w:szCs w:val="22"/>
              </w:rPr>
              <w:t xml:space="preserve">Pretendentam piedāvājums jāiesniedz latviešu valodā. </w:t>
            </w:r>
            <w:r w:rsidRPr="008F0246">
              <w:rPr>
                <w:rFonts w:eastAsia="Helvetica"/>
                <w:sz w:val="22"/>
                <w:szCs w:val="22"/>
              </w:rPr>
              <w:t>Ja piedāvājumā iekļaujamā informācija ir</w:t>
            </w:r>
            <w:r w:rsidRPr="008F0246">
              <w:rPr>
                <w:sz w:val="22"/>
                <w:szCs w:val="22"/>
              </w:rPr>
              <w:t xml:space="preserve"> citā valodā, pretendents pievieno tulkojumu latviešu valodā, kas sagatavots atbilstoši normatīvajiem aktiem par kārtību, kādā apliecināmi dokumentu tulkojumi valsts valodā</w:t>
            </w:r>
            <w:r w:rsidRPr="008F0246">
              <w:rPr>
                <w:rStyle w:val="FootnoteReference"/>
                <w:szCs w:val="22"/>
              </w:rPr>
              <w:footnoteReference w:id="1"/>
            </w:r>
            <w:r w:rsidRPr="008F0246">
              <w:rPr>
                <w:rFonts w:eastAsia="Helvetica"/>
                <w:sz w:val="22"/>
                <w:szCs w:val="22"/>
              </w:rPr>
              <w:t>.</w:t>
            </w:r>
          </w:p>
          <w:p w:rsidR="000D0CB6" w:rsidRPr="008F0246" w:rsidRDefault="000D0CB6" w:rsidP="008E61C5">
            <w:pPr>
              <w:pStyle w:val="BodyText"/>
              <w:tabs>
                <w:tab w:val="left" w:pos="746"/>
              </w:tabs>
              <w:ind w:left="720"/>
              <w:jc w:val="both"/>
              <w:rPr>
                <w:rFonts w:eastAsia="Helvetica"/>
                <w:sz w:val="22"/>
                <w:szCs w:val="22"/>
              </w:rPr>
            </w:pPr>
          </w:p>
        </w:tc>
      </w:tr>
      <w:tr w:rsidR="000D0CB6" w:rsidRPr="008F0246" w:rsidTr="00496963">
        <w:tc>
          <w:tcPr>
            <w:tcW w:w="9498" w:type="dxa"/>
            <w:shd w:val="clear" w:color="auto" w:fill="auto"/>
          </w:tcPr>
          <w:p w:rsidR="000D0CB6" w:rsidRPr="008F0246" w:rsidRDefault="000D0CB6" w:rsidP="00496963">
            <w:pPr>
              <w:pStyle w:val="BodyText"/>
              <w:numPr>
                <w:ilvl w:val="0"/>
                <w:numId w:val="1"/>
              </w:numPr>
              <w:tabs>
                <w:tab w:val="left" w:pos="851"/>
              </w:tabs>
              <w:ind w:left="460"/>
              <w:jc w:val="both"/>
              <w:rPr>
                <w:sz w:val="22"/>
                <w:szCs w:val="22"/>
              </w:rPr>
            </w:pPr>
            <w:r w:rsidRPr="008F0246">
              <w:rPr>
                <w:sz w:val="22"/>
                <w:szCs w:val="22"/>
              </w:rPr>
              <w:t>Iesniegtie piedāvājumi, izņemot, ja pretendents piedāvājumu atsauc, paliek Pasūtītāja īpašumā.</w:t>
            </w:r>
          </w:p>
          <w:p w:rsidR="000D0CB6" w:rsidRPr="008F0246" w:rsidRDefault="000D0CB6" w:rsidP="00496963">
            <w:pPr>
              <w:pStyle w:val="BodyText"/>
              <w:tabs>
                <w:tab w:val="left" w:pos="851"/>
              </w:tabs>
              <w:ind w:left="460"/>
              <w:jc w:val="both"/>
              <w:rPr>
                <w:sz w:val="22"/>
                <w:szCs w:val="22"/>
              </w:rPr>
            </w:pPr>
          </w:p>
        </w:tc>
      </w:tr>
      <w:tr w:rsidR="000D0CB6" w:rsidRPr="008F0246" w:rsidTr="00496963">
        <w:tc>
          <w:tcPr>
            <w:tcW w:w="9498" w:type="dxa"/>
            <w:shd w:val="clear" w:color="auto" w:fill="auto"/>
          </w:tcPr>
          <w:p w:rsidR="000D0CB6" w:rsidRPr="008F0246" w:rsidRDefault="000D0CB6" w:rsidP="00496963">
            <w:pPr>
              <w:pStyle w:val="BodyText"/>
              <w:numPr>
                <w:ilvl w:val="0"/>
                <w:numId w:val="1"/>
              </w:numPr>
              <w:tabs>
                <w:tab w:val="left" w:pos="709"/>
                <w:tab w:val="left" w:pos="746"/>
              </w:tabs>
              <w:ind w:left="460"/>
              <w:jc w:val="both"/>
              <w:rPr>
                <w:sz w:val="22"/>
                <w:szCs w:val="22"/>
              </w:rPr>
            </w:pPr>
            <w:r w:rsidRPr="008F0246">
              <w:rPr>
                <w:sz w:val="22"/>
                <w:szCs w:val="22"/>
              </w:rPr>
              <w:lastRenderedPageBreak/>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0D0CB6" w:rsidRPr="008F0246" w:rsidRDefault="000D0CB6" w:rsidP="00496963">
            <w:pPr>
              <w:pStyle w:val="BodyText"/>
              <w:tabs>
                <w:tab w:val="left" w:pos="567"/>
                <w:tab w:val="left" w:pos="709"/>
              </w:tabs>
              <w:ind w:left="460"/>
              <w:jc w:val="both"/>
              <w:rPr>
                <w:sz w:val="22"/>
                <w:szCs w:val="22"/>
              </w:rPr>
            </w:pPr>
          </w:p>
        </w:tc>
      </w:tr>
      <w:tr w:rsidR="000D0CB6" w:rsidRPr="008F0246" w:rsidTr="00496963">
        <w:tc>
          <w:tcPr>
            <w:tcW w:w="9498" w:type="dxa"/>
            <w:shd w:val="clear" w:color="auto" w:fill="auto"/>
          </w:tcPr>
          <w:p w:rsidR="000D0CB6" w:rsidRPr="008F0246" w:rsidRDefault="000D0CB6" w:rsidP="00496963">
            <w:pPr>
              <w:pStyle w:val="BodyText"/>
              <w:numPr>
                <w:ilvl w:val="0"/>
                <w:numId w:val="1"/>
              </w:numPr>
              <w:tabs>
                <w:tab w:val="left" w:pos="567"/>
                <w:tab w:val="left" w:pos="709"/>
              </w:tabs>
              <w:ind w:left="460"/>
              <w:jc w:val="both"/>
              <w:rPr>
                <w:sz w:val="22"/>
                <w:szCs w:val="22"/>
              </w:rPr>
            </w:pPr>
            <w:r w:rsidRPr="008F0246">
              <w:rPr>
                <w:sz w:val="22"/>
                <w:szCs w:val="22"/>
              </w:rPr>
              <w:t>Pretendents pirms piedāvājumu iesniegšanas termiņa beigām var grozīt vai atsaukt iesniegto piedāvājumu.</w:t>
            </w:r>
          </w:p>
          <w:p w:rsidR="000D0CB6" w:rsidRPr="008F0246" w:rsidRDefault="000D0CB6" w:rsidP="00496963">
            <w:pPr>
              <w:pStyle w:val="BodyText"/>
              <w:tabs>
                <w:tab w:val="left" w:pos="567"/>
                <w:tab w:val="left" w:pos="709"/>
              </w:tabs>
              <w:ind w:left="460"/>
              <w:jc w:val="both"/>
              <w:rPr>
                <w:sz w:val="22"/>
                <w:szCs w:val="22"/>
              </w:rPr>
            </w:pPr>
          </w:p>
        </w:tc>
      </w:tr>
      <w:tr w:rsidR="000D0CB6" w:rsidRPr="008F0246" w:rsidTr="00496963">
        <w:tc>
          <w:tcPr>
            <w:tcW w:w="9498" w:type="dxa"/>
            <w:shd w:val="clear" w:color="auto" w:fill="auto"/>
          </w:tcPr>
          <w:p w:rsidR="000D0CB6" w:rsidRPr="008F0246" w:rsidRDefault="000D0CB6" w:rsidP="00496963">
            <w:pPr>
              <w:pStyle w:val="ListParagraph"/>
              <w:numPr>
                <w:ilvl w:val="0"/>
                <w:numId w:val="1"/>
              </w:numPr>
              <w:spacing w:after="0" w:line="240" w:lineRule="auto"/>
              <w:ind w:left="460"/>
              <w:contextualSpacing/>
              <w:jc w:val="both"/>
              <w:rPr>
                <w:rFonts w:ascii="Times New Roman" w:eastAsia="Times New Roman" w:hAnsi="Times New Roman"/>
              </w:rPr>
            </w:pPr>
            <w:r w:rsidRPr="008F0246">
              <w:rPr>
                <w:rFonts w:ascii="Times New Roman" w:eastAsia="Times New Roman" w:hAnsi="Times New Roman"/>
              </w:rPr>
              <w:t>Komisija pieņem Eiropas vienoto iepirkuma procedūras dokumentu (turpmāk – ESPD)</w:t>
            </w:r>
            <w:r w:rsidRPr="008F0246">
              <w:rPr>
                <w:rStyle w:val="FootnoteReference"/>
                <w:rFonts w:ascii="Times New Roman" w:eastAsia="Times New Roman" w:hAnsi="Times New Roman"/>
              </w:rPr>
              <w:footnoteReference w:id="2"/>
            </w:r>
            <w:r w:rsidRPr="008F0246">
              <w:rPr>
                <w:rFonts w:ascii="Times New Roman" w:eastAsia="Times New Roman" w:hAnsi="Times New Roman"/>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0D0CB6" w:rsidRPr="008F0246" w:rsidRDefault="000D0CB6" w:rsidP="00496963">
            <w:pPr>
              <w:pStyle w:val="ListParagraph"/>
              <w:spacing w:after="0" w:line="240" w:lineRule="auto"/>
              <w:ind w:left="460"/>
              <w:jc w:val="both"/>
              <w:rPr>
                <w:rFonts w:ascii="Times New Roman" w:eastAsia="Times New Roman" w:hAnsi="Times New Roman"/>
              </w:rPr>
            </w:pPr>
          </w:p>
        </w:tc>
      </w:tr>
      <w:tr w:rsidR="000D0CB6" w:rsidRPr="008F0246" w:rsidTr="00496963">
        <w:tc>
          <w:tcPr>
            <w:tcW w:w="9498" w:type="dxa"/>
            <w:shd w:val="clear" w:color="auto" w:fill="auto"/>
          </w:tcPr>
          <w:p w:rsidR="000D0CB6" w:rsidRPr="008F0246" w:rsidRDefault="000D0CB6" w:rsidP="00496963">
            <w:pPr>
              <w:pStyle w:val="BodyText"/>
              <w:numPr>
                <w:ilvl w:val="0"/>
                <w:numId w:val="1"/>
              </w:numPr>
              <w:tabs>
                <w:tab w:val="left" w:pos="360"/>
              </w:tabs>
              <w:ind w:left="460"/>
              <w:jc w:val="both"/>
              <w:rPr>
                <w:sz w:val="22"/>
                <w:szCs w:val="22"/>
              </w:rPr>
            </w:pPr>
            <w:r w:rsidRPr="008F0246">
              <w:rPr>
                <w:sz w:val="22"/>
                <w:szCs w:val="22"/>
              </w:rPr>
              <w:t>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w:t>
            </w:r>
            <w:r w:rsidRPr="008F0246">
              <w:t xml:space="preserve"> </w:t>
            </w:r>
          </w:p>
          <w:p w:rsidR="000D0CB6" w:rsidRPr="008F0246" w:rsidRDefault="000D0CB6" w:rsidP="00496963">
            <w:pPr>
              <w:pStyle w:val="BodyText"/>
              <w:tabs>
                <w:tab w:val="left" w:pos="360"/>
              </w:tabs>
              <w:ind w:left="460"/>
              <w:jc w:val="both"/>
              <w:rPr>
                <w:sz w:val="22"/>
                <w:szCs w:val="22"/>
              </w:rPr>
            </w:pPr>
            <w:r w:rsidRPr="008F0246">
              <w:rPr>
                <w:sz w:val="22"/>
                <w:szCs w:val="22"/>
              </w:rPr>
              <w:t>Iesniedzot piedāvājumu, Pretendents pilnībā atzīst visus Nolikumā (t.sk. tā pielikumos un formās, kuras ir ievietotas Elektronisko iepirkumu sistēmā e-konkursu apakšsistēmas šā iepirkuma sadaļā) ietvertos nosacījumus.</w:t>
            </w:r>
          </w:p>
          <w:p w:rsidR="000D0CB6" w:rsidRPr="008F0246" w:rsidRDefault="000D0CB6" w:rsidP="00496963">
            <w:pPr>
              <w:pStyle w:val="BodyText"/>
              <w:tabs>
                <w:tab w:val="left" w:pos="360"/>
                <w:tab w:val="left" w:pos="851"/>
              </w:tabs>
              <w:ind w:left="460"/>
              <w:jc w:val="both"/>
              <w:rPr>
                <w:rFonts w:eastAsia="Helvetica"/>
                <w:sz w:val="22"/>
                <w:szCs w:val="22"/>
              </w:rPr>
            </w:pPr>
          </w:p>
        </w:tc>
      </w:tr>
      <w:tr w:rsidR="000D0CB6" w:rsidRPr="008F0246" w:rsidTr="00496963">
        <w:tc>
          <w:tcPr>
            <w:tcW w:w="9498" w:type="dxa"/>
            <w:shd w:val="clear" w:color="auto" w:fill="auto"/>
          </w:tcPr>
          <w:p w:rsidR="000D0CB6" w:rsidRPr="008F0246" w:rsidRDefault="000D0CB6" w:rsidP="00496963">
            <w:pPr>
              <w:pStyle w:val="ListParagraph"/>
              <w:numPr>
                <w:ilvl w:val="0"/>
                <w:numId w:val="1"/>
              </w:numPr>
              <w:tabs>
                <w:tab w:val="left" w:pos="360"/>
              </w:tabs>
              <w:spacing w:after="0" w:line="240" w:lineRule="auto"/>
              <w:ind w:left="460" w:hanging="357"/>
              <w:jc w:val="both"/>
              <w:rPr>
                <w:rFonts w:ascii="Times New Roman" w:hAnsi="Times New Roman"/>
              </w:rPr>
            </w:pPr>
            <w:r w:rsidRPr="008F0246">
              <w:rPr>
                <w:rFonts w:ascii="Times New Roman" w:hAnsi="Times New Roman"/>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0D0CB6" w:rsidRPr="008F0246" w:rsidRDefault="000D0CB6" w:rsidP="00496963">
            <w:pPr>
              <w:pStyle w:val="ListParagraph"/>
              <w:tabs>
                <w:tab w:val="left" w:pos="360"/>
              </w:tabs>
              <w:spacing w:after="0" w:line="240" w:lineRule="auto"/>
              <w:ind w:left="460"/>
              <w:jc w:val="both"/>
              <w:rPr>
                <w:rFonts w:ascii="Times New Roman" w:hAnsi="Times New Roman"/>
              </w:rPr>
            </w:pPr>
          </w:p>
        </w:tc>
      </w:tr>
      <w:tr w:rsidR="000D0CB6" w:rsidRPr="008F0246" w:rsidTr="00496963">
        <w:trPr>
          <w:trHeight w:val="296"/>
        </w:trPr>
        <w:tc>
          <w:tcPr>
            <w:tcW w:w="9498" w:type="dxa"/>
            <w:shd w:val="clear" w:color="auto" w:fill="auto"/>
          </w:tcPr>
          <w:p w:rsidR="000D0CB6" w:rsidRPr="008F0246" w:rsidRDefault="000D0CB6" w:rsidP="00496963">
            <w:pPr>
              <w:pStyle w:val="ListParagraph"/>
              <w:numPr>
                <w:ilvl w:val="0"/>
                <w:numId w:val="1"/>
              </w:numPr>
              <w:tabs>
                <w:tab w:val="left" w:pos="360"/>
              </w:tabs>
              <w:spacing w:after="0" w:line="240" w:lineRule="auto"/>
              <w:ind w:left="460"/>
              <w:jc w:val="both"/>
              <w:rPr>
                <w:rFonts w:ascii="Times New Roman" w:hAnsi="Times New Roman"/>
              </w:rPr>
            </w:pPr>
            <w:r w:rsidRPr="008F0246">
              <w:rPr>
                <w:rFonts w:ascii="Times New Roman" w:hAnsi="Times New Roman"/>
              </w:rPr>
              <w:t>Ja pretendents piedāvājuma datu aizsardzībai izmantojis piedāvājuma šifrēšanu, pretendentam, ne vēlāk ka 15 (</w:t>
            </w:r>
            <w:r w:rsidRPr="008F0246">
              <w:rPr>
                <w:rFonts w:ascii="Times New Roman" w:hAnsi="Times New Roman"/>
                <w:i/>
              </w:rPr>
              <w:t>piecpadsmit</w:t>
            </w:r>
            <w:r w:rsidRPr="008F0246">
              <w:rPr>
                <w:rFonts w:ascii="Times New Roman" w:hAnsi="Times New Roman"/>
              </w:rPr>
              <w:t>) minūtes pēc piedāvājumu iesniegšanas termiņa beigām Komisijai jāiesniedz derīga elektroniskā atslēga ar paroli šifrētā dokumenta atvēršanai.</w:t>
            </w:r>
          </w:p>
          <w:p w:rsidR="000D0CB6" w:rsidRPr="008F0246" w:rsidRDefault="000D0CB6" w:rsidP="00496963">
            <w:pPr>
              <w:pStyle w:val="ListParagraph"/>
              <w:tabs>
                <w:tab w:val="left" w:pos="360"/>
              </w:tabs>
              <w:spacing w:after="0" w:line="240" w:lineRule="auto"/>
              <w:ind w:left="460"/>
              <w:jc w:val="both"/>
              <w:rPr>
                <w:rFonts w:ascii="Times New Roman" w:hAnsi="Times New Roman"/>
              </w:rPr>
            </w:pPr>
          </w:p>
        </w:tc>
      </w:tr>
      <w:tr w:rsidR="000D0CB6" w:rsidRPr="00312255" w:rsidTr="00496963">
        <w:tc>
          <w:tcPr>
            <w:tcW w:w="9498" w:type="dxa"/>
            <w:shd w:val="clear" w:color="auto" w:fill="auto"/>
          </w:tcPr>
          <w:p w:rsidR="000D0CB6" w:rsidRPr="008F0246" w:rsidRDefault="000D0CB6" w:rsidP="00496963">
            <w:pPr>
              <w:pStyle w:val="BodyText"/>
              <w:numPr>
                <w:ilvl w:val="0"/>
                <w:numId w:val="1"/>
              </w:numPr>
              <w:tabs>
                <w:tab w:val="left" w:pos="360"/>
              </w:tabs>
              <w:ind w:left="460"/>
              <w:jc w:val="both"/>
              <w:rPr>
                <w:sz w:val="22"/>
                <w:szCs w:val="22"/>
              </w:rPr>
            </w:pPr>
            <w:r w:rsidRPr="008F0246">
              <w:rPr>
                <w:sz w:val="22"/>
                <w:szCs w:val="22"/>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bookmarkStart w:id="0" w:name="_GoBack"/>
        <w:bookmarkEnd w:id="0"/>
      </w:tr>
    </w:tbl>
    <w:p w:rsidR="000D0CB6" w:rsidRDefault="000D0CB6" w:rsidP="000D0CB6">
      <w:pPr>
        <w:pStyle w:val="NoSpacing1"/>
      </w:pPr>
    </w:p>
    <w:p w:rsidR="000D0CB6" w:rsidRPr="003615AE" w:rsidRDefault="000D0CB6" w:rsidP="000D0CB6">
      <w:pPr>
        <w:pStyle w:val="NoSpacing1"/>
      </w:pPr>
    </w:p>
    <w:p w:rsidR="00B9341D" w:rsidRPr="008811E7" w:rsidRDefault="00B9341D">
      <w:pPr>
        <w:rPr>
          <w:lang w:val="lv-LV"/>
        </w:rPr>
      </w:pPr>
    </w:p>
    <w:sectPr w:rsidR="00B9341D" w:rsidRPr="008811E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035" w:rsidRDefault="00EA0035" w:rsidP="000D0CB6">
      <w:r>
        <w:separator/>
      </w:r>
    </w:p>
  </w:endnote>
  <w:endnote w:type="continuationSeparator" w:id="0">
    <w:p w:rsidR="00EA0035" w:rsidRDefault="00EA0035" w:rsidP="000D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035" w:rsidRDefault="00EA0035" w:rsidP="000D0CB6">
      <w:r>
        <w:separator/>
      </w:r>
    </w:p>
  </w:footnote>
  <w:footnote w:type="continuationSeparator" w:id="0">
    <w:p w:rsidR="00EA0035" w:rsidRDefault="00EA0035" w:rsidP="000D0CB6">
      <w:r>
        <w:continuationSeparator/>
      </w:r>
    </w:p>
  </w:footnote>
  <w:footnote w:id="1">
    <w:p w:rsidR="000D0CB6" w:rsidRPr="00D843C8" w:rsidRDefault="000D0CB6" w:rsidP="00D843C8">
      <w:pPr>
        <w:pStyle w:val="FootnoteText"/>
        <w:ind w:left="0" w:firstLine="1"/>
        <w:jc w:val="both"/>
        <w:rPr>
          <w:i/>
          <w:sz w:val="18"/>
          <w:szCs w:val="18"/>
        </w:rPr>
      </w:pPr>
      <w:r w:rsidRPr="007E5F89">
        <w:rPr>
          <w:rStyle w:val="FootnoteReference"/>
        </w:rPr>
        <w:footnoteRef/>
      </w:r>
      <w:r w:rsidRPr="007E5F89">
        <w:t xml:space="preserve"> </w:t>
      </w:r>
      <w:proofErr w:type="spellStart"/>
      <w:r w:rsidRPr="00D843C8">
        <w:rPr>
          <w:i/>
          <w:sz w:val="18"/>
          <w:szCs w:val="18"/>
        </w:rPr>
        <w:t>Latvijas</w:t>
      </w:r>
      <w:proofErr w:type="spellEnd"/>
      <w:r w:rsidRPr="00D843C8">
        <w:rPr>
          <w:i/>
          <w:sz w:val="18"/>
          <w:szCs w:val="18"/>
        </w:rPr>
        <w:t xml:space="preserve"> </w:t>
      </w:r>
      <w:proofErr w:type="spellStart"/>
      <w:r w:rsidRPr="00D843C8">
        <w:rPr>
          <w:i/>
          <w:sz w:val="18"/>
          <w:szCs w:val="18"/>
        </w:rPr>
        <w:t>Republikā</w:t>
      </w:r>
      <w:proofErr w:type="spellEnd"/>
      <w:r w:rsidRPr="00D843C8">
        <w:rPr>
          <w:i/>
          <w:sz w:val="18"/>
          <w:szCs w:val="18"/>
        </w:rPr>
        <w:t xml:space="preserve"> </w:t>
      </w:r>
      <w:proofErr w:type="spellStart"/>
      <w:r w:rsidRPr="00D843C8">
        <w:rPr>
          <w:i/>
          <w:sz w:val="18"/>
          <w:szCs w:val="18"/>
        </w:rPr>
        <w:t>spēkā</w:t>
      </w:r>
      <w:proofErr w:type="spellEnd"/>
      <w:r w:rsidRPr="00D843C8">
        <w:rPr>
          <w:i/>
          <w:sz w:val="18"/>
          <w:szCs w:val="18"/>
        </w:rPr>
        <w:t xml:space="preserve"> </w:t>
      </w:r>
      <w:proofErr w:type="spellStart"/>
      <w:r w:rsidRPr="00D843C8">
        <w:rPr>
          <w:rFonts w:eastAsia="Helvetica"/>
          <w:i/>
          <w:sz w:val="18"/>
          <w:szCs w:val="18"/>
        </w:rPr>
        <w:t>Ministru</w:t>
      </w:r>
      <w:proofErr w:type="spellEnd"/>
      <w:r w:rsidRPr="00D843C8">
        <w:rPr>
          <w:rFonts w:eastAsia="Helvetica"/>
          <w:i/>
          <w:sz w:val="18"/>
          <w:szCs w:val="18"/>
        </w:rPr>
        <w:t xml:space="preserve"> </w:t>
      </w:r>
      <w:proofErr w:type="spellStart"/>
      <w:r w:rsidRPr="00D843C8">
        <w:rPr>
          <w:rFonts w:eastAsia="Helvetica"/>
          <w:i/>
          <w:sz w:val="18"/>
          <w:szCs w:val="18"/>
        </w:rPr>
        <w:t>kabineta</w:t>
      </w:r>
      <w:proofErr w:type="spellEnd"/>
      <w:r w:rsidRPr="00D843C8">
        <w:rPr>
          <w:rFonts w:eastAsia="Helvetica"/>
          <w:i/>
          <w:sz w:val="18"/>
          <w:szCs w:val="18"/>
        </w:rPr>
        <w:t xml:space="preserve"> 2000.gada 22.augusta </w:t>
      </w:r>
      <w:proofErr w:type="spellStart"/>
      <w:r w:rsidRPr="00D843C8">
        <w:rPr>
          <w:rFonts w:eastAsia="Helvetica"/>
          <w:i/>
          <w:sz w:val="18"/>
          <w:szCs w:val="18"/>
        </w:rPr>
        <w:t>noteikumi</w:t>
      </w:r>
      <w:proofErr w:type="spellEnd"/>
      <w:r w:rsidRPr="00D843C8">
        <w:rPr>
          <w:rFonts w:eastAsia="Helvetica"/>
          <w:i/>
          <w:sz w:val="18"/>
          <w:szCs w:val="18"/>
        </w:rPr>
        <w:t xml:space="preserve"> Nr.291 “</w:t>
      </w:r>
      <w:proofErr w:type="spellStart"/>
      <w:r w:rsidRPr="00D843C8">
        <w:rPr>
          <w:rFonts w:eastAsia="Helvetica"/>
          <w:i/>
          <w:sz w:val="18"/>
          <w:szCs w:val="18"/>
        </w:rPr>
        <w:t>Kārtība</w:t>
      </w:r>
      <w:proofErr w:type="spellEnd"/>
      <w:r w:rsidRPr="00D843C8">
        <w:rPr>
          <w:rFonts w:eastAsia="Helvetica"/>
          <w:i/>
          <w:sz w:val="18"/>
          <w:szCs w:val="18"/>
        </w:rPr>
        <w:t xml:space="preserve">, </w:t>
      </w:r>
      <w:proofErr w:type="spellStart"/>
      <w:r w:rsidRPr="00D843C8">
        <w:rPr>
          <w:rFonts w:eastAsia="Helvetica"/>
          <w:i/>
          <w:sz w:val="18"/>
          <w:szCs w:val="18"/>
        </w:rPr>
        <w:t>kādā</w:t>
      </w:r>
      <w:proofErr w:type="spellEnd"/>
      <w:r w:rsidRPr="00D843C8">
        <w:rPr>
          <w:rFonts w:eastAsia="Helvetica"/>
          <w:i/>
          <w:sz w:val="18"/>
          <w:szCs w:val="18"/>
        </w:rPr>
        <w:t xml:space="preserve"> </w:t>
      </w:r>
      <w:proofErr w:type="spellStart"/>
      <w:r w:rsidRPr="00D843C8">
        <w:rPr>
          <w:rFonts w:eastAsia="Helvetica"/>
          <w:i/>
          <w:sz w:val="18"/>
          <w:szCs w:val="18"/>
        </w:rPr>
        <w:t>apliecināmi</w:t>
      </w:r>
      <w:proofErr w:type="spellEnd"/>
      <w:r w:rsidRPr="00D843C8">
        <w:rPr>
          <w:rFonts w:eastAsia="Helvetica"/>
          <w:i/>
          <w:sz w:val="18"/>
          <w:szCs w:val="18"/>
        </w:rPr>
        <w:t xml:space="preserve"> </w:t>
      </w:r>
      <w:proofErr w:type="spellStart"/>
      <w:r w:rsidRPr="00D843C8">
        <w:rPr>
          <w:rFonts w:eastAsia="Helvetica"/>
          <w:i/>
          <w:sz w:val="18"/>
          <w:szCs w:val="18"/>
        </w:rPr>
        <w:t>dokumentu</w:t>
      </w:r>
      <w:proofErr w:type="spellEnd"/>
      <w:r w:rsidRPr="00D843C8">
        <w:rPr>
          <w:rFonts w:eastAsia="Helvetica"/>
          <w:i/>
          <w:sz w:val="18"/>
          <w:szCs w:val="18"/>
        </w:rPr>
        <w:t xml:space="preserve"> </w:t>
      </w:r>
      <w:proofErr w:type="spellStart"/>
      <w:r w:rsidRPr="00D843C8">
        <w:rPr>
          <w:rFonts w:eastAsia="Helvetica"/>
          <w:i/>
          <w:sz w:val="18"/>
          <w:szCs w:val="18"/>
        </w:rPr>
        <w:t>tulkojumi</w:t>
      </w:r>
      <w:proofErr w:type="spellEnd"/>
      <w:r w:rsidRPr="00D843C8">
        <w:rPr>
          <w:rFonts w:eastAsia="Helvetica"/>
          <w:i/>
          <w:sz w:val="18"/>
          <w:szCs w:val="18"/>
        </w:rPr>
        <w:t xml:space="preserve"> </w:t>
      </w:r>
      <w:proofErr w:type="spellStart"/>
      <w:r w:rsidRPr="00D843C8">
        <w:rPr>
          <w:rFonts w:eastAsia="Helvetica"/>
          <w:i/>
          <w:sz w:val="18"/>
          <w:szCs w:val="18"/>
        </w:rPr>
        <w:t>valsts</w:t>
      </w:r>
      <w:proofErr w:type="spellEnd"/>
      <w:r w:rsidRPr="00D843C8">
        <w:rPr>
          <w:rFonts w:eastAsia="Helvetica"/>
          <w:i/>
          <w:sz w:val="18"/>
          <w:szCs w:val="18"/>
        </w:rPr>
        <w:t xml:space="preserve"> </w:t>
      </w:r>
      <w:proofErr w:type="spellStart"/>
      <w:r w:rsidRPr="00D843C8">
        <w:rPr>
          <w:rFonts w:eastAsia="Helvetica"/>
          <w:i/>
          <w:sz w:val="18"/>
          <w:szCs w:val="18"/>
        </w:rPr>
        <w:t>valodā</w:t>
      </w:r>
      <w:proofErr w:type="spellEnd"/>
      <w:r w:rsidRPr="00D843C8">
        <w:rPr>
          <w:rFonts w:eastAsia="Helvetica"/>
          <w:i/>
          <w:sz w:val="18"/>
          <w:szCs w:val="18"/>
        </w:rPr>
        <w:t xml:space="preserve">”, </w:t>
      </w:r>
      <w:proofErr w:type="spellStart"/>
      <w:r w:rsidRPr="00D843C8">
        <w:rPr>
          <w:rFonts w:eastAsia="Helvetica"/>
          <w:i/>
          <w:sz w:val="18"/>
          <w:szCs w:val="18"/>
        </w:rPr>
        <w:t>skatīt</w:t>
      </w:r>
      <w:proofErr w:type="spellEnd"/>
      <w:r w:rsidRPr="00D843C8">
        <w:rPr>
          <w:rFonts w:eastAsia="Helvetica"/>
          <w:i/>
          <w:sz w:val="18"/>
          <w:szCs w:val="18"/>
        </w:rPr>
        <w:t>:</w:t>
      </w:r>
      <w:r w:rsidRPr="00D843C8">
        <w:rPr>
          <w:i/>
          <w:sz w:val="18"/>
          <w:szCs w:val="18"/>
        </w:rPr>
        <w:t xml:space="preserve"> </w:t>
      </w:r>
      <w:hyperlink r:id="rId1" w:history="1">
        <w:r w:rsidRPr="00D843C8">
          <w:rPr>
            <w:rStyle w:val="Hyperlink"/>
            <w:rFonts w:eastAsia="Helvetica"/>
            <w:i/>
            <w:sz w:val="18"/>
            <w:szCs w:val="18"/>
          </w:rPr>
          <w:t>http://likumi.lv/doc.php?id=10127</w:t>
        </w:r>
      </w:hyperlink>
      <w:r w:rsidRPr="00D843C8">
        <w:rPr>
          <w:rFonts w:eastAsia="Helvetica"/>
          <w:i/>
          <w:sz w:val="18"/>
          <w:szCs w:val="18"/>
        </w:rPr>
        <w:t xml:space="preserve">. </w:t>
      </w:r>
    </w:p>
  </w:footnote>
  <w:footnote w:id="2">
    <w:p w:rsidR="000D0CB6" w:rsidRPr="00D843C8" w:rsidRDefault="000D0CB6" w:rsidP="00D843C8">
      <w:pPr>
        <w:pStyle w:val="BodyText"/>
        <w:tabs>
          <w:tab w:val="left" w:pos="142"/>
          <w:tab w:val="left" w:pos="567"/>
          <w:tab w:val="left" w:pos="851"/>
        </w:tabs>
        <w:ind w:firstLine="1"/>
        <w:jc w:val="both"/>
        <w:rPr>
          <w:i/>
          <w:sz w:val="18"/>
          <w:szCs w:val="18"/>
        </w:rPr>
      </w:pPr>
      <w:r w:rsidRPr="00D843C8">
        <w:rPr>
          <w:rStyle w:val="FootnoteReference"/>
          <w:i/>
          <w:sz w:val="18"/>
          <w:szCs w:val="18"/>
        </w:rPr>
        <w:footnoteRef/>
      </w:r>
      <w:r w:rsidRPr="00D843C8">
        <w:rPr>
          <w:i/>
          <w:sz w:val="18"/>
          <w:szCs w:val="18"/>
        </w:rPr>
        <w:t xml:space="preserve">Eiropas vienotais iepirkuma procedūras dokuments (ESPD) (vietnē </w:t>
      </w:r>
      <w:hyperlink r:id="rId2" w:history="1">
        <w:r w:rsidRPr="00D843C8">
          <w:rPr>
            <w:rStyle w:val="Hyperlink"/>
            <w:i/>
            <w:sz w:val="18"/>
            <w:szCs w:val="18"/>
          </w:rPr>
          <w:t>https://ec.europa.eu/growth/tools-databases/espd/filter?lang=lv</w:t>
        </w:r>
      </w:hyperlink>
      <w:r w:rsidRPr="00D843C8">
        <w:rPr>
          <w:i/>
          <w:sz w:val="18"/>
          <w:szCs w:val="18"/>
        </w:rPr>
        <w:t>)</w:t>
      </w:r>
    </w:p>
    <w:p w:rsidR="000D0CB6" w:rsidRDefault="000D0CB6" w:rsidP="000D0CB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B6"/>
    <w:rsid w:val="00030E74"/>
    <w:rsid w:val="000D0CB6"/>
    <w:rsid w:val="000E6F95"/>
    <w:rsid w:val="00312255"/>
    <w:rsid w:val="003E1CEF"/>
    <w:rsid w:val="003F70FA"/>
    <w:rsid w:val="00496963"/>
    <w:rsid w:val="00590366"/>
    <w:rsid w:val="008811E7"/>
    <w:rsid w:val="008F0246"/>
    <w:rsid w:val="00B9341D"/>
    <w:rsid w:val="00C4242C"/>
    <w:rsid w:val="00D843C8"/>
    <w:rsid w:val="00DB0AE4"/>
    <w:rsid w:val="00EA0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86391-F689-43F1-8D98-D52D288C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B6"/>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0CB6"/>
    <w:rPr>
      <w:color w:val="0000FF"/>
      <w:u w:val="single"/>
    </w:rPr>
  </w:style>
  <w:style w:type="paragraph" w:styleId="BodyText">
    <w:name w:val="Body Text"/>
    <w:basedOn w:val="Normal"/>
    <w:link w:val="BodyTextChar"/>
    <w:rsid w:val="000D0CB6"/>
    <w:pPr>
      <w:jc w:val="center"/>
    </w:pPr>
    <w:rPr>
      <w:sz w:val="20"/>
      <w:szCs w:val="20"/>
      <w:lang w:val="lv-LV"/>
    </w:rPr>
  </w:style>
  <w:style w:type="character" w:customStyle="1" w:styleId="BodyTextChar">
    <w:name w:val="Body Text Char"/>
    <w:basedOn w:val="DefaultParagraphFont"/>
    <w:link w:val="BodyText"/>
    <w:rsid w:val="000D0CB6"/>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0D0CB6"/>
    <w:pPr>
      <w:jc w:val="center"/>
    </w:pPr>
    <w:rPr>
      <w:b/>
      <w:sz w:val="32"/>
      <w:szCs w:val="20"/>
      <w:u w:val="single"/>
      <w:lang w:val="lv-LV"/>
    </w:rPr>
  </w:style>
  <w:style w:type="character" w:customStyle="1" w:styleId="TitleChar">
    <w:name w:val="Title Char"/>
    <w:basedOn w:val="DefaultParagraphFont"/>
    <w:link w:val="Title"/>
    <w:rsid w:val="000D0CB6"/>
    <w:rPr>
      <w:rFonts w:ascii="Times New Roman" w:eastAsia="Times New Roman" w:hAnsi="Times New Roman" w:cs="Times New Roman"/>
      <w:b/>
      <w:sz w:val="32"/>
      <w:szCs w:val="20"/>
      <w:u w:val="single"/>
      <w:lang w:eastAsia="ar-SA"/>
    </w:rPr>
  </w:style>
  <w:style w:type="paragraph" w:styleId="FootnoteText">
    <w:name w:val="footnote text"/>
    <w:basedOn w:val="Normal"/>
    <w:link w:val="FootnoteTextChar"/>
    <w:rsid w:val="000D0CB6"/>
    <w:pPr>
      <w:suppressLineNumbers/>
      <w:ind w:left="283" w:hanging="283"/>
    </w:pPr>
    <w:rPr>
      <w:sz w:val="20"/>
      <w:szCs w:val="20"/>
    </w:rPr>
  </w:style>
  <w:style w:type="character" w:customStyle="1" w:styleId="FootnoteTextChar">
    <w:name w:val="Footnote Text Char"/>
    <w:basedOn w:val="DefaultParagraphFont"/>
    <w:link w:val="FootnoteText"/>
    <w:rsid w:val="000D0CB6"/>
    <w:rPr>
      <w:rFonts w:ascii="Times New Roman" w:eastAsia="Times New Roman" w:hAnsi="Times New Roman" w:cs="Times New Roman"/>
      <w:sz w:val="20"/>
      <w:szCs w:val="20"/>
      <w:lang w:val="en-GB" w:eastAsia="ar-SA"/>
    </w:rPr>
  </w:style>
  <w:style w:type="paragraph" w:customStyle="1" w:styleId="NoSpacing1">
    <w:name w:val="No Spacing1"/>
    <w:qFormat/>
    <w:rsid w:val="000D0CB6"/>
    <w:pPr>
      <w:suppressAutoHyphens/>
      <w:spacing w:after="0" w:line="240" w:lineRule="auto"/>
    </w:pPr>
    <w:rPr>
      <w:rFonts w:ascii="Calibri" w:eastAsia="Calibri" w:hAnsi="Calibri" w:cs="Times New Roman"/>
      <w:lang w:eastAsia="ar-SA"/>
    </w:rPr>
  </w:style>
  <w:style w:type="paragraph" w:styleId="ListParagraph">
    <w:name w:val="List Paragraph"/>
    <w:aliases w:val="Saistīto dokumentu saraksts,Syle 1"/>
    <w:basedOn w:val="Normal"/>
    <w:link w:val="ListParagraphChar"/>
    <w:qFormat/>
    <w:rsid w:val="000D0CB6"/>
    <w:pPr>
      <w:suppressAutoHyphens w:val="0"/>
      <w:spacing w:after="200" w:line="276" w:lineRule="auto"/>
      <w:ind w:left="720"/>
    </w:pPr>
    <w:rPr>
      <w:rFonts w:ascii="Calibri" w:eastAsia="Calibri" w:hAnsi="Calibri"/>
      <w:sz w:val="22"/>
      <w:szCs w:val="22"/>
      <w:lang w:val="lv-LV"/>
    </w:rPr>
  </w:style>
  <w:style w:type="character" w:styleId="FootnoteReference">
    <w:name w:val="footnote reference"/>
    <w:aliases w:val="Footnote symbol"/>
    <w:uiPriority w:val="99"/>
    <w:rsid w:val="000D0CB6"/>
    <w:rPr>
      <w:vertAlign w:val="superscript"/>
    </w:rPr>
  </w:style>
  <w:style w:type="character" w:customStyle="1" w:styleId="ListParagraphChar">
    <w:name w:val="List Paragraph Char"/>
    <w:aliases w:val="Saistīto dokumentu saraksts Char,Syle 1 Char"/>
    <w:link w:val="ListParagraph"/>
    <w:qFormat/>
    <w:locked/>
    <w:rsid w:val="000D0CB6"/>
    <w:rPr>
      <w:rFonts w:ascii="Calibri" w:eastAsia="Calibri" w:hAnsi="Calibri" w:cs="Times New Roman"/>
      <w:lang w:eastAsia="ar-SA"/>
    </w:rPr>
  </w:style>
  <w:style w:type="paragraph" w:styleId="Subtitle">
    <w:name w:val="Subtitle"/>
    <w:basedOn w:val="Normal"/>
    <w:next w:val="Normal"/>
    <w:link w:val="SubtitleChar"/>
    <w:uiPriority w:val="11"/>
    <w:qFormat/>
    <w:rsid w:val="000D0C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CB6"/>
    <w:rPr>
      <w:rFonts w:eastAsiaTheme="minorEastAsia"/>
      <w:color w:val="5A5A5A" w:themeColor="text1" w:themeTint="A5"/>
      <w:spacing w:val="15"/>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tools-databases/espd/filter?lang=lv" TargetMode="External"/><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3778</Words>
  <Characters>2154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Ādažu slimnīca PSIA</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Dzintars Kronbergs</cp:lastModifiedBy>
  <cp:revision>6</cp:revision>
  <dcterms:created xsi:type="dcterms:W3CDTF">2017-12-20T13:39:00Z</dcterms:created>
  <dcterms:modified xsi:type="dcterms:W3CDTF">2017-12-21T07:27:00Z</dcterms:modified>
</cp:coreProperties>
</file>