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E2696" w14:textId="77777777" w:rsidR="00A35323" w:rsidRPr="00A80E7D" w:rsidRDefault="00A35323" w:rsidP="0030294F">
      <w:pPr>
        <w:pStyle w:val="Heading3"/>
        <w:keepNext w:val="0"/>
        <w:tabs>
          <w:tab w:val="left" w:pos="5760"/>
          <w:tab w:val="left" w:pos="11520"/>
        </w:tabs>
        <w:spacing w:before="0" w:after="0"/>
        <w:ind w:left="2880"/>
        <w:jc w:val="right"/>
        <w:rPr>
          <w:rFonts w:ascii="Times New Roman" w:hAnsi="Times New Roman" w:cs="Times New Roman"/>
          <w:sz w:val="22"/>
          <w:szCs w:val="22"/>
        </w:rPr>
      </w:pPr>
      <w:r w:rsidRPr="00A80E7D">
        <w:rPr>
          <w:rFonts w:ascii="Times New Roman" w:hAnsi="Times New Roman" w:cs="Times New Roman"/>
          <w:sz w:val="22"/>
          <w:szCs w:val="22"/>
        </w:rPr>
        <w:t>APSTIPRINĀTS</w:t>
      </w:r>
    </w:p>
    <w:p w14:paraId="55E34E4F" w14:textId="77777777" w:rsidR="00711A2D" w:rsidRPr="003D7B7C" w:rsidRDefault="00711A2D" w:rsidP="00711A2D">
      <w:pPr>
        <w:pStyle w:val="PlainText"/>
        <w:jc w:val="right"/>
        <w:rPr>
          <w:rFonts w:ascii="Times New Roman" w:hAnsi="Times New Roman"/>
          <w:sz w:val="24"/>
          <w:szCs w:val="24"/>
        </w:rPr>
      </w:pPr>
      <w:r w:rsidRPr="003D7B7C">
        <w:rPr>
          <w:rFonts w:ascii="Times New Roman" w:hAnsi="Times New Roman"/>
          <w:sz w:val="24"/>
          <w:szCs w:val="24"/>
        </w:rPr>
        <w:t>PSIA „Ādažu slimnīca”</w:t>
      </w:r>
    </w:p>
    <w:p w14:paraId="0C40208B" w14:textId="77777777" w:rsidR="00711A2D" w:rsidRPr="009B3DCE" w:rsidRDefault="00711A2D" w:rsidP="00711A2D">
      <w:pPr>
        <w:pStyle w:val="PlainText"/>
        <w:jc w:val="right"/>
        <w:rPr>
          <w:rFonts w:ascii="Times New Roman" w:hAnsi="Times New Roman"/>
          <w:sz w:val="24"/>
          <w:szCs w:val="24"/>
        </w:rPr>
      </w:pPr>
      <w:r w:rsidRPr="009B3DCE">
        <w:rPr>
          <w:rFonts w:ascii="Times New Roman" w:hAnsi="Times New Roman"/>
          <w:sz w:val="24"/>
          <w:szCs w:val="24"/>
        </w:rPr>
        <w:t>Iepirkuma komisijas</w:t>
      </w:r>
    </w:p>
    <w:p w14:paraId="7C26532B" w14:textId="6340DCB2" w:rsidR="00A35323" w:rsidRPr="009B3DCE" w:rsidRDefault="00711A2D" w:rsidP="00711A2D">
      <w:pPr>
        <w:tabs>
          <w:tab w:val="left" w:pos="288"/>
          <w:tab w:val="left" w:pos="613"/>
        </w:tabs>
        <w:spacing w:after="0" w:line="240" w:lineRule="auto"/>
        <w:jc w:val="right"/>
        <w:rPr>
          <w:rFonts w:ascii="Times New Roman" w:hAnsi="Times New Roman" w:cs="Times New Roman"/>
          <w:color w:val="FF0000"/>
        </w:rPr>
      </w:pPr>
      <w:r w:rsidRPr="009B3DCE">
        <w:rPr>
          <w:rFonts w:ascii="Times New Roman" w:hAnsi="Times New Roman"/>
          <w:sz w:val="24"/>
          <w:szCs w:val="24"/>
        </w:rPr>
        <w:t>2017. gada 15. decembra sēdē, prot. Nr. 1-12/2017-1</w:t>
      </w:r>
    </w:p>
    <w:p w14:paraId="655197B3" w14:textId="77777777" w:rsidR="0030294F" w:rsidRPr="009B3DCE" w:rsidRDefault="0030294F" w:rsidP="0030294F">
      <w:pPr>
        <w:tabs>
          <w:tab w:val="left" w:pos="288"/>
          <w:tab w:val="left" w:pos="613"/>
        </w:tabs>
        <w:spacing w:after="0" w:line="240" w:lineRule="auto"/>
        <w:jc w:val="right"/>
        <w:rPr>
          <w:rFonts w:ascii="Times New Roman" w:hAnsi="Times New Roman" w:cs="Times New Roman"/>
        </w:rPr>
      </w:pPr>
    </w:p>
    <w:p w14:paraId="06358A45" w14:textId="77777777" w:rsidR="0080187E" w:rsidRPr="009B3DCE" w:rsidRDefault="0080187E" w:rsidP="0030294F">
      <w:pPr>
        <w:tabs>
          <w:tab w:val="left" w:pos="288"/>
          <w:tab w:val="left" w:pos="613"/>
        </w:tabs>
        <w:spacing w:after="0" w:line="240" w:lineRule="auto"/>
        <w:jc w:val="right"/>
        <w:rPr>
          <w:rFonts w:ascii="Times New Roman" w:hAnsi="Times New Roman" w:cs="Times New Roman"/>
        </w:rPr>
      </w:pPr>
    </w:p>
    <w:p w14:paraId="3E5B12E7" w14:textId="77777777" w:rsidR="004F2238" w:rsidRPr="009B3DCE" w:rsidRDefault="004F2238" w:rsidP="0030294F">
      <w:pPr>
        <w:tabs>
          <w:tab w:val="left" w:pos="288"/>
          <w:tab w:val="left" w:pos="613"/>
        </w:tabs>
        <w:spacing w:after="0" w:line="240" w:lineRule="auto"/>
        <w:jc w:val="right"/>
        <w:rPr>
          <w:rFonts w:ascii="Times New Roman" w:hAnsi="Times New Roman" w:cs="Times New Roman"/>
        </w:rPr>
      </w:pPr>
    </w:p>
    <w:p w14:paraId="4F061D2E" w14:textId="77777777" w:rsidR="0030294F" w:rsidRPr="009B3DCE" w:rsidRDefault="00AC1C38" w:rsidP="0030294F">
      <w:pPr>
        <w:spacing w:after="0" w:line="240" w:lineRule="auto"/>
        <w:jc w:val="center"/>
        <w:rPr>
          <w:rFonts w:ascii="Times New Roman" w:hAnsi="Times New Roman" w:cs="Times New Roman"/>
          <w:b/>
        </w:rPr>
      </w:pPr>
      <w:r w:rsidRPr="009B3DCE">
        <w:rPr>
          <w:rFonts w:ascii="Times New Roman" w:hAnsi="Times New Roman" w:cs="Times New Roman"/>
          <w:b/>
        </w:rPr>
        <w:t>ATKLĀTA KONKURSA</w:t>
      </w:r>
    </w:p>
    <w:p w14:paraId="389A5CAE" w14:textId="2DACD2B5" w:rsidR="007F73DE" w:rsidRPr="009B3DCE" w:rsidRDefault="007F73DE" w:rsidP="0030294F">
      <w:pPr>
        <w:spacing w:after="0" w:line="240" w:lineRule="auto"/>
        <w:jc w:val="center"/>
        <w:rPr>
          <w:rFonts w:ascii="Times New Roman" w:hAnsi="Times New Roman" w:cs="Times New Roman"/>
        </w:rPr>
      </w:pPr>
      <w:r w:rsidRPr="009B3DCE">
        <w:rPr>
          <w:rFonts w:ascii="Times New Roman" w:hAnsi="Times New Roman" w:cs="Times New Roman"/>
        </w:rPr>
        <w:t xml:space="preserve">(IDENTIFIKĀCIJAS NUMURS </w:t>
      </w:r>
      <w:r w:rsidR="00711A2D" w:rsidRPr="009B3DCE">
        <w:rPr>
          <w:rFonts w:ascii="Times New Roman" w:hAnsi="Times New Roman" w:cs="Times New Roman"/>
        </w:rPr>
        <w:t>PSIA Ādažu slimnīca 2017/</w:t>
      </w:r>
      <w:r w:rsidR="004323E5" w:rsidRPr="009B3DCE">
        <w:rPr>
          <w:rFonts w:ascii="Times New Roman" w:hAnsi="Times New Roman" w:cs="Times New Roman"/>
        </w:rPr>
        <w:t>1</w:t>
      </w:r>
      <w:r w:rsidRPr="009B3DCE">
        <w:rPr>
          <w:rFonts w:ascii="Times New Roman" w:hAnsi="Times New Roman" w:cs="Times New Roman"/>
        </w:rPr>
        <w:t>)</w:t>
      </w:r>
    </w:p>
    <w:p w14:paraId="14E2596D" w14:textId="77777777" w:rsidR="0030294F" w:rsidRPr="009B3DCE" w:rsidRDefault="0030294F" w:rsidP="0030294F">
      <w:pPr>
        <w:pStyle w:val="Header"/>
        <w:tabs>
          <w:tab w:val="clear" w:pos="4153"/>
          <w:tab w:val="clear" w:pos="8306"/>
        </w:tabs>
        <w:jc w:val="center"/>
        <w:rPr>
          <w:sz w:val="22"/>
          <w:szCs w:val="22"/>
        </w:rPr>
      </w:pPr>
    </w:p>
    <w:p w14:paraId="422D3F8F" w14:textId="58FA92FA" w:rsidR="001E3B43" w:rsidRPr="00681F67" w:rsidRDefault="00E21A8D" w:rsidP="001E3B43">
      <w:pPr>
        <w:suppressAutoHyphens/>
        <w:spacing w:after="0" w:line="240" w:lineRule="auto"/>
        <w:jc w:val="center"/>
        <w:rPr>
          <w:rFonts w:ascii="Times New Roman" w:eastAsia="Times New Roman" w:hAnsi="Times New Roman" w:cs="Times New Roman"/>
          <w:b/>
          <w:sz w:val="28"/>
          <w:szCs w:val="28"/>
          <w:u w:val="single"/>
          <w:lang w:eastAsia="ar-SA"/>
        </w:rPr>
      </w:pPr>
      <w:r w:rsidRPr="009B3DCE">
        <w:rPr>
          <w:rFonts w:ascii="Times New Roman" w:eastAsia="Times New Roman" w:hAnsi="Times New Roman" w:cs="Times New Roman"/>
          <w:b/>
          <w:sz w:val="28"/>
          <w:szCs w:val="28"/>
          <w:u w:val="single"/>
          <w:lang w:eastAsia="ar-SA"/>
        </w:rPr>
        <w:t xml:space="preserve">Par </w:t>
      </w:r>
      <w:r w:rsidR="004D7979" w:rsidRPr="009B3DCE">
        <w:rPr>
          <w:rFonts w:ascii="Times New Roman" w:eastAsia="Times New Roman" w:hAnsi="Times New Roman" w:cs="Times New Roman"/>
          <w:b/>
          <w:sz w:val="28"/>
          <w:szCs w:val="28"/>
          <w:u w:val="single"/>
          <w:lang w:eastAsia="ar-SA"/>
        </w:rPr>
        <w:t>datortomogrāfa</w:t>
      </w:r>
      <w:r w:rsidRPr="009B3DCE">
        <w:rPr>
          <w:rFonts w:ascii="Times New Roman" w:eastAsia="Times New Roman" w:hAnsi="Times New Roman" w:cs="Times New Roman"/>
          <w:b/>
          <w:sz w:val="28"/>
          <w:szCs w:val="28"/>
          <w:u w:val="single"/>
          <w:lang w:eastAsia="ar-SA"/>
        </w:rPr>
        <w:t xml:space="preserve"> piegādi </w:t>
      </w:r>
      <w:r w:rsidR="004D7979" w:rsidRPr="009B3DCE">
        <w:rPr>
          <w:rFonts w:ascii="Times New Roman" w:eastAsia="Times New Roman" w:hAnsi="Times New Roman" w:cs="Times New Roman"/>
          <w:b/>
          <w:sz w:val="28"/>
          <w:szCs w:val="28"/>
          <w:u w:val="single"/>
          <w:lang w:eastAsia="ar-SA"/>
        </w:rPr>
        <w:t>PSIA „Ādažu slimnīca”</w:t>
      </w:r>
    </w:p>
    <w:p w14:paraId="1643DAE3" w14:textId="77777777" w:rsidR="00BE1DDD" w:rsidRPr="00681F67" w:rsidRDefault="00BE1DDD" w:rsidP="00BE1DDD">
      <w:pPr>
        <w:spacing w:after="0" w:line="240" w:lineRule="auto"/>
        <w:jc w:val="center"/>
        <w:rPr>
          <w:rFonts w:ascii="Times New Roman" w:eastAsia="Calibri" w:hAnsi="Times New Roman" w:cs="Times New Roman"/>
          <w:b/>
          <w:caps/>
        </w:rPr>
      </w:pPr>
    </w:p>
    <w:p w14:paraId="265FB1DF" w14:textId="77777777" w:rsidR="00A35323" w:rsidRPr="00A80E7D" w:rsidRDefault="0030294F" w:rsidP="0030294F">
      <w:pPr>
        <w:spacing w:after="0" w:line="240" w:lineRule="auto"/>
        <w:jc w:val="center"/>
        <w:rPr>
          <w:rFonts w:ascii="Times New Roman" w:hAnsi="Times New Roman" w:cs="Times New Roman"/>
          <w:b/>
        </w:rPr>
      </w:pPr>
      <w:r w:rsidRPr="00A80E7D">
        <w:rPr>
          <w:rFonts w:ascii="Times New Roman" w:hAnsi="Times New Roman" w:cs="Times New Roman"/>
          <w:b/>
        </w:rPr>
        <w:t>NOLIKUMS</w:t>
      </w:r>
    </w:p>
    <w:p w14:paraId="40377228" w14:textId="77777777" w:rsidR="0030294F" w:rsidRPr="00A80E7D" w:rsidRDefault="0030294F" w:rsidP="0030294F">
      <w:pPr>
        <w:spacing w:after="0" w:line="240" w:lineRule="auto"/>
        <w:jc w:val="center"/>
        <w:rPr>
          <w:rFonts w:ascii="Times New Roman" w:hAnsi="Times New Roman" w:cs="Times New Roman"/>
          <w:b/>
        </w:rPr>
      </w:pPr>
    </w:p>
    <w:p w14:paraId="2A234093" w14:textId="77777777" w:rsidR="00852988" w:rsidRPr="00A80E7D" w:rsidRDefault="00852988" w:rsidP="0030294F">
      <w:pPr>
        <w:spacing w:after="0" w:line="240" w:lineRule="auto"/>
        <w:jc w:val="center"/>
        <w:rPr>
          <w:rFonts w:ascii="Times New Roman" w:hAnsi="Times New Roman" w:cs="Times New Roman"/>
          <w:b/>
        </w:rPr>
      </w:pPr>
      <w:r w:rsidRPr="00A80E7D">
        <w:rPr>
          <w:rFonts w:ascii="Times New Roman" w:hAnsi="Times New Roman" w:cs="Times New Roman"/>
          <w:b/>
        </w:rPr>
        <w:t>I SADAĻA</w:t>
      </w:r>
    </w:p>
    <w:p w14:paraId="25710B4A" w14:textId="77777777" w:rsidR="00852988" w:rsidRDefault="00852988" w:rsidP="0030294F">
      <w:pPr>
        <w:spacing w:after="0" w:line="240" w:lineRule="auto"/>
        <w:jc w:val="center"/>
        <w:rPr>
          <w:rFonts w:ascii="Times New Roman" w:hAnsi="Times New Roman" w:cs="Times New Roman"/>
          <w:b/>
        </w:rPr>
      </w:pPr>
      <w:r w:rsidRPr="00A80E7D">
        <w:rPr>
          <w:rFonts w:ascii="Times New Roman" w:hAnsi="Times New Roman" w:cs="Times New Roman"/>
          <w:b/>
        </w:rPr>
        <w:t>INFORMĀCIJA PAR IEPIRKUMU</w:t>
      </w:r>
    </w:p>
    <w:p w14:paraId="024D1142" w14:textId="77777777" w:rsidR="00956F31" w:rsidRDefault="00956F31" w:rsidP="0030294F">
      <w:pPr>
        <w:spacing w:after="0" w:line="240" w:lineRule="auto"/>
        <w:jc w:val="center"/>
        <w:rPr>
          <w:rFonts w:ascii="Times New Roman" w:hAnsi="Times New Roman" w:cs="Times New Roman"/>
          <w:b/>
        </w:rPr>
      </w:pPr>
    </w:p>
    <w:tbl>
      <w:tblPr>
        <w:tblStyle w:val="Reatabulagaia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2369E0" w:rsidRPr="00A80E7D" w14:paraId="1BAD8665" w14:textId="77777777" w:rsidTr="002369E0">
        <w:trPr>
          <w:trHeight w:val="221"/>
        </w:trPr>
        <w:tc>
          <w:tcPr>
            <w:tcW w:w="9209" w:type="dxa"/>
          </w:tcPr>
          <w:p w14:paraId="567701D1" w14:textId="77777777" w:rsidR="002369E0" w:rsidRDefault="002369E0" w:rsidP="002369E0">
            <w:pPr>
              <w:pStyle w:val="ListParagraph"/>
              <w:numPr>
                <w:ilvl w:val="1"/>
                <w:numId w:val="4"/>
              </w:numPr>
              <w:rPr>
                <w:rFonts w:ascii="Times New Roman" w:hAnsi="Times New Roman" w:cs="Times New Roman"/>
                <w:b/>
              </w:rPr>
            </w:pPr>
            <w:r w:rsidRPr="00A80E7D">
              <w:rPr>
                <w:rFonts w:ascii="Times New Roman" w:hAnsi="Times New Roman" w:cs="Times New Roman"/>
                <w:b/>
              </w:rPr>
              <w:t>Pasūtītājs</w:t>
            </w:r>
            <w:r w:rsidRPr="00956F31">
              <w:rPr>
                <w:rFonts w:ascii="Times New Roman" w:hAnsi="Times New Roman" w:cs="Times New Roman"/>
                <w:b/>
              </w:rPr>
              <w:t xml:space="preserve"> </w:t>
            </w:r>
          </w:p>
          <w:p w14:paraId="494FF66D" w14:textId="77777777" w:rsidR="002369E0" w:rsidRDefault="002369E0" w:rsidP="002369E0">
            <w:pPr>
              <w:pStyle w:val="ListParagraph"/>
              <w:ind w:left="360"/>
              <w:rPr>
                <w:rFonts w:ascii="Times New Roman" w:hAnsi="Times New Roman" w:cs="Times New Roman"/>
                <w:b/>
              </w:rPr>
            </w:pPr>
          </w:p>
        </w:tc>
      </w:tr>
      <w:tr w:rsidR="002369E0" w:rsidRPr="00A80E7D" w14:paraId="145B0BCE" w14:textId="77777777" w:rsidTr="007A1B9F">
        <w:tc>
          <w:tcPr>
            <w:tcW w:w="9209" w:type="dxa"/>
          </w:tcPr>
          <w:p w14:paraId="7248437F" w14:textId="77777777" w:rsidR="00671275" w:rsidRPr="00671275" w:rsidRDefault="00671275" w:rsidP="00671275">
            <w:pPr>
              <w:pStyle w:val="ListParagraph"/>
              <w:ind w:left="360"/>
              <w:rPr>
                <w:rFonts w:ascii="Times New Roman" w:hAnsi="Times New Roman" w:cs="Times New Roman"/>
                <w:b/>
              </w:rPr>
            </w:pPr>
          </w:p>
          <w:p w14:paraId="5952585F" w14:textId="77777777" w:rsidR="00671275" w:rsidRPr="00044452" w:rsidRDefault="00671275" w:rsidP="00671275">
            <w:pPr>
              <w:pStyle w:val="ListParagraph"/>
              <w:ind w:left="360"/>
              <w:rPr>
                <w:rFonts w:ascii="Times New Roman" w:hAnsi="Times New Roman" w:cs="Times New Roman"/>
              </w:rPr>
            </w:pPr>
            <w:r w:rsidRPr="00044452">
              <w:rPr>
                <w:rFonts w:ascii="Times New Roman" w:hAnsi="Times New Roman" w:cs="Times New Roman"/>
              </w:rPr>
              <w:t xml:space="preserve">Pasūtītāja nosaukums: </w:t>
            </w:r>
            <w:r w:rsidRPr="00044452">
              <w:rPr>
                <w:rFonts w:ascii="Times New Roman" w:hAnsi="Times New Roman" w:cs="Times New Roman"/>
              </w:rPr>
              <w:tab/>
              <w:t>PSIA „Ādažu slimnīca”</w:t>
            </w:r>
          </w:p>
          <w:p w14:paraId="47150A74" w14:textId="77777777" w:rsidR="00671275" w:rsidRPr="00044452" w:rsidRDefault="00671275" w:rsidP="00671275">
            <w:pPr>
              <w:pStyle w:val="ListParagraph"/>
              <w:ind w:left="360"/>
              <w:rPr>
                <w:rFonts w:ascii="Times New Roman" w:hAnsi="Times New Roman" w:cs="Times New Roman"/>
              </w:rPr>
            </w:pPr>
            <w:r w:rsidRPr="00044452">
              <w:rPr>
                <w:rFonts w:ascii="Times New Roman" w:hAnsi="Times New Roman" w:cs="Times New Roman"/>
              </w:rPr>
              <w:t xml:space="preserve">Juridiskā adrese: </w:t>
            </w:r>
            <w:r w:rsidRPr="00044452">
              <w:rPr>
                <w:rFonts w:ascii="Times New Roman" w:hAnsi="Times New Roman" w:cs="Times New Roman"/>
              </w:rPr>
              <w:tab/>
              <w:t>Gaujas iela 13/15, Ādaži, Ādažu novads, LV-2164</w:t>
            </w:r>
          </w:p>
          <w:p w14:paraId="0D3EEB18" w14:textId="77777777" w:rsidR="00671275" w:rsidRPr="00044452" w:rsidRDefault="00671275" w:rsidP="00671275">
            <w:pPr>
              <w:pStyle w:val="ListParagraph"/>
              <w:ind w:left="360"/>
              <w:rPr>
                <w:rFonts w:ascii="Times New Roman" w:hAnsi="Times New Roman" w:cs="Times New Roman"/>
              </w:rPr>
            </w:pPr>
            <w:r w:rsidRPr="00044452">
              <w:rPr>
                <w:rFonts w:ascii="Times New Roman" w:hAnsi="Times New Roman" w:cs="Times New Roman"/>
              </w:rPr>
              <w:t xml:space="preserve">Reģistrācijas numurs: </w:t>
            </w:r>
            <w:r w:rsidRPr="00044452">
              <w:rPr>
                <w:rFonts w:ascii="Times New Roman" w:hAnsi="Times New Roman" w:cs="Times New Roman"/>
              </w:rPr>
              <w:tab/>
              <w:t>LV40003131022</w:t>
            </w:r>
          </w:p>
          <w:p w14:paraId="41CDC139" w14:textId="3B0CF44D" w:rsidR="00671275" w:rsidRPr="00044452" w:rsidRDefault="00671275" w:rsidP="00671275">
            <w:pPr>
              <w:pStyle w:val="ListParagraph"/>
              <w:ind w:left="360"/>
              <w:rPr>
                <w:rFonts w:ascii="Times New Roman" w:hAnsi="Times New Roman" w:cs="Times New Roman"/>
              </w:rPr>
            </w:pPr>
            <w:r w:rsidRPr="00044452">
              <w:rPr>
                <w:rFonts w:ascii="Times New Roman" w:hAnsi="Times New Roman" w:cs="Times New Roman"/>
              </w:rPr>
              <w:t xml:space="preserve">Banka: </w:t>
            </w:r>
            <w:r w:rsidR="00044452">
              <w:rPr>
                <w:rFonts w:ascii="Times New Roman" w:hAnsi="Times New Roman" w:cs="Times New Roman"/>
              </w:rPr>
              <w:t xml:space="preserve"> </w:t>
            </w:r>
            <w:r w:rsidRPr="00044452">
              <w:rPr>
                <w:rFonts w:ascii="Times New Roman" w:hAnsi="Times New Roman" w:cs="Times New Roman"/>
              </w:rPr>
              <w:t>AS Citadele</w:t>
            </w:r>
          </w:p>
          <w:p w14:paraId="5B6A90AF" w14:textId="7B050CC1" w:rsidR="00671275" w:rsidRPr="00044452" w:rsidRDefault="00671275" w:rsidP="00671275">
            <w:pPr>
              <w:pStyle w:val="ListParagraph"/>
              <w:ind w:left="360"/>
              <w:rPr>
                <w:rFonts w:ascii="Times New Roman" w:hAnsi="Times New Roman" w:cs="Times New Roman"/>
              </w:rPr>
            </w:pPr>
            <w:r w:rsidRPr="00044452">
              <w:rPr>
                <w:rFonts w:ascii="Times New Roman" w:hAnsi="Times New Roman" w:cs="Times New Roman"/>
              </w:rPr>
              <w:t xml:space="preserve">Konta numurs: </w:t>
            </w:r>
            <w:r w:rsidR="00044452">
              <w:rPr>
                <w:rFonts w:ascii="Times New Roman" w:hAnsi="Times New Roman" w:cs="Times New Roman"/>
              </w:rPr>
              <w:t xml:space="preserve"> </w:t>
            </w:r>
            <w:r w:rsidRPr="00044452">
              <w:rPr>
                <w:rFonts w:ascii="Times New Roman" w:hAnsi="Times New Roman" w:cs="Times New Roman"/>
              </w:rPr>
              <w:t>LV74PARX0013166800001</w:t>
            </w:r>
          </w:p>
          <w:p w14:paraId="05E900CB" w14:textId="2842B493" w:rsidR="009A0085" w:rsidRPr="009A0085" w:rsidRDefault="00671275" w:rsidP="009A0085">
            <w:pPr>
              <w:pStyle w:val="ListParagraph"/>
              <w:ind w:left="360"/>
              <w:rPr>
                <w:rFonts w:ascii="Times New Roman" w:hAnsi="Times New Roman" w:cs="Times New Roman"/>
              </w:rPr>
            </w:pPr>
            <w:r w:rsidRPr="00044452">
              <w:rPr>
                <w:rFonts w:ascii="Times New Roman" w:hAnsi="Times New Roman" w:cs="Times New Roman"/>
              </w:rPr>
              <w:t xml:space="preserve">Kods: </w:t>
            </w:r>
            <w:r w:rsidRPr="00044452">
              <w:rPr>
                <w:rFonts w:ascii="Times New Roman" w:hAnsi="Times New Roman" w:cs="Times New Roman"/>
              </w:rPr>
              <w:tab/>
            </w:r>
            <w:r w:rsidR="009A0085">
              <w:rPr>
                <w:rFonts w:ascii="Times New Roman" w:hAnsi="Times New Roman" w:cs="Times New Roman"/>
              </w:rPr>
              <w:t>PARXLV22</w:t>
            </w:r>
          </w:p>
          <w:p w14:paraId="03E0A266" w14:textId="7DEEB54F" w:rsidR="002369E0" w:rsidRPr="00044452" w:rsidRDefault="002369E0" w:rsidP="00671275">
            <w:pPr>
              <w:pStyle w:val="ListParagraph"/>
              <w:ind w:left="360"/>
              <w:rPr>
                <w:rFonts w:ascii="Times New Roman" w:hAnsi="Times New Roman" w:cs="Times New Roman"/>
              </w:rPr>
            </w:pPr>
          </w:p>
          <w:p w14:paraId="6B396816" w14:textId="77777777" w:rsidR="002369E0" w:rsidRDefault="002369E0" w:rsidP="002369E0">
            <w:pPr>
              <w:pStyle w:val="ListParagraph"/>
              <w:ind w:left="360"/>
              <w:rPr>
                <w:rFonts w:ascii="Times New Roman" w:hAnsi="Times New Roman" w:cs="Times New Roman"/>
                <w:b/>
              </w:rPr>
            </w:pPr>
          </w:p>
        </w:tc>
      </w:tr>
      <w:tr w:rsidR="002369E0" w:rsidRPr="00A80E7D" w14:paraId="1E38E196" w14:textId="77777777" w:rsidTr="007A1B9F">
        <w:tc>
          <w:tcPr>
            <w:tcW w:w="9209" w:type="dxa"/>
          </w:tcPr>
          <w:p w14:paraId="464E42E7" w14:textId="77777777" w:rsidR="002369E0" w:rsidRPr="00956F31" w:rsidRDefault="002369E0" w:rsidP="002369E0">
            <w:pPr>
              <w:pStyle w:val="ListParagraph"/>
              <w:numPr>
                <w:ilvl w:val="1"/>
                <w:numId w:val="4"/>
              </w:numPr>
              <w:rPr>
                <w:rFonts w:ascii="Times New Roman" w:hAnsi="Times New Roman" w:cs="Times New Roman"/>
                <w:b/>
              </w:rPr>
            </w:pPr>
            <w:r w:rsidRPr="00A80E7D">
              <w:rPr>
                <w:rFonts w:ascii="Times New Roman" w:hAnsi="Times New Roman" w:cs="Times New Roman"/>
                <w:b/>
              </w:rPr>
              <w:t>Iepirkuma priekšmets</w:t>
            </w:r>
            <w:r w:rsidRPr="00956F31">
              <w:rPr>
                <w:rFonts w:ascii="Times New Roman" w:eastAsia="Times New Roman" w:hAnsi="Times New Roman" w:cs="Times New Roman"/>
                <w:bCs/>
                <w:lang w:eastAsia="ar-SA"/>
              </w:rPr>
              <w:t xml:space="preserve"> </w:t>
            </w:r>
          </w:p>
          <w:p w14:paraId="0032216C" w14:textId="77777777" w:rsidR="002369E0" w:rsidRDefault="002369E0" w:rsidP="002369E0">
            <w:pPr>
              <w:pStyle w:val="ListParagraph"/>
              <w:ind w:left="360"/>
              <w:rPr>
                <w:rFonts w:ascii="Times New Roman" w:hAnsi="Times New Roman" w:cs="Times New Roman"/>
                <w:b/>
              </w:rPr>
            </w:pPr>
          </w:p>
        </w:tc>
      </w:tr>
      <w:tr w:rsidR="002369E0" w:rsidRPr="00A80E7D" w14:paraId="4FFE0065" w14:textId="77777777" w:rsidTr="007A1B9F">
        <w:tc>
          <w:tcPr>
            <w:tcW w:w="9209" w:type="dxa"/>
          </w:tcPr>
          <w:p w14:paraId="6F5A0651" w14:textId="5BF65C2E" w:rsidR="002369E0" w:rsidRPr="009B3DCE" w:rsidRDefault="002369E0" w:rsidP="009A0085">
            <w:pPr>
              <w:pStyle w:val="BodyText"/>
              <w:numPr>
                <w:ilvl w:val="2"/>
                <w:numId w:val="4"/>
              </w:numPr>
              <w:tabs>
                <w:tab w:val="left" w:pos="3600"/>
              </w:tabs>
              <w:jc w:val="both"/>
              <w:rPr>
                <w:sz w:val="22"/>
                <w:szCs w:val="22"/>
              </w:rPr>
            </w:pPr>
            <w:r w:rsidRPr="009B3DCE">
              <w:rPr>
                <w:sz w:val="22"/>
                <w:szCs w:val="22"/>
              </w:rPr>
              <w:t xml:space="preserve">Iepirkuma priekšmets ir </w:t>
            </w:r>
            <w:proofErr w:type="spellStart"/>
            <w:r w:rsidR="009A0085" w:rsidRPr="009B3DCE">
              <w:rPr>
                <w:sz w:val="22"/>
                <w:szCs w:val="22"/>
              </w:rPr>
              <w:t>datortomogrāfa</w:t>
            </w:r>
            <w:proofErr w:type="spellEnd"/>
            <w:r w:rsidR="009A0085" w:rsidRPr="009B3DCE">
              <w:rPr>
                <w:sz w:val="22"/>
                <w:szCs w:val="22"/>
              </w:rPr>
              <w:t xml:space="preserve"> piegād</w:t>
            </w:r>
            <w:r w:rsidR="005D0DC9" w:rsidRPr="009B3DCE">
              <w:rPr>
                <w:sz w:val="22"/>
                <w:szCs w:val="22"/>
              </w:rPr>
              <w:t>e</w:t>
            </w:r>
            <w:r w:rsidR="009A0085" w:rsidRPr="009B3DCE">
              <w:rPr>
                <w:sz w:val="22"/>
                <w:szCs w:val="22"/>
              </w:rPr>
              <w:t xml:space="preserve"> PSIA „Ādažu slimnīca”</w:t>
            </w:r>
          </w:p>
          <w:p w14:paraId="6BB14BA2" w14:textId="77777777" w:rsidR="002369E0" w:rsidRPr="009B3DCE" w:rsidRDefault="002369E0" w:rsidP="002369E0">
            <w:pPr>
              <w:pStyle w:val="BodyText"/>
              <w:numPr>
                <w:ilvl w:val="2"/>
                <w:numId w:val="4"/>
              </w:numPr>
              <w:tabs>
                <w:tab w:val="left" w:pos="3600"/>
              </w:tabs>
              <w:jc w:val="both"/>
              <w:rPr>
                <w:sz w:val="22"/>
                <w:szCs w:val="22"/>
              </w:rPr>
            </w:pPr>
            <w:r w:rsidRPr="009B3DCE">
              <w:rPr>
                <w:sz w:val="22"/>
                <w:szCs w:val="22"/>
              </w:rPr>
              <w:t xml:space="preserve">Piedāvājumam pilnībā jāatbilst tehniskajā specifikācijā minētajām prasībām. </w:t>
            </w:r>
          </w:p>
          <w:p w14:paraId="2DECDC91" w14:textId="6C152933" w:rsidR="00196879" w:rsidRPr="009B3DCE" w:rsidRDefault="00196879" w:rsidP="002369E0">
            <w:pPr>
              <w:pStyle w:val="BodyText"/>
              <w:numPr>
                <w:ilvl w:val="2"/>
                <w:numId w:val="4"/>
              </w:numPr>
              <w:tabs>
                <w:tab w:val="left" w:pos="3600"/>
              </w:tabs>
              <w:jc w:val="both"/>
              <w:rPr>
                <w:sz w:val="22"/>
                <w:szCs w:val="22"/>
              </w:rPr>
            </w:pPr>
            <w:r w:rsidRPr="009B3DCE">
              <w:rPr>
                <w:sz w:val="22"/>
                <w:szCs w:val="22"/>
              </w:rPr>
              <w:t>Iepirkums nav sadalīts daļās.</w:t>
            </w:r>
          </w:p>
          <w:p w14:paraId="0BAF6996" w14:textId="153B34E5" w:rsidR="002369E0" w:rsidRPr="009B3DCE" w:rsidRDefault="002369E0" w:rsidP="002369E0">
            <w:pPr>
              <w:pStyle w:val="BodyText"/>
              <w:numPr>
                <w:ilvl w:val="2"/>
                <w:numId w:val="4"/>
              </w:numPr>
              <w:tabs>
                <w:tab w:val="left" w:pos="3600"/>
              </w:tabs>
              <w:jc w:val="both"/>
              <w:rPr>
                <w:sz w:val="22"/>
                <w:szCs w:val="22"/>
              </w:rPr>
            </w:pPr>
            <w:r w:rsidRPr="009B3DCE">
              <w:rPr>
                <w:rFonts w:eastAsia="Arial"/>
                <w:color w:val="000000"/>
                <w:kern w:val="2"/>
                <w:sz w:val="22"/>
                <w:szCs w:val="22"/>
              </w:rPr>
              <w:t>Pretendents drīkst iesniegt tikai vienu piedāvājuma variantu. Ja pretendents iesniegs vairākus piedāvājuma variantus, tie visi tiks atzīti par nederīgiem.</w:t>
            </w:r>
          </w:p>
          <w:p w14:paraId="5DD503C2" w14:textId="77777777" w:rsidR="002369E0" w:rsidRDefault="002369E0" w:rsidP="002369E0">
            <w:pPr>
              <w:pStyle w:val="ListParagraph"/>
              <w:ind w:left="360"/>
              <w:rPr>
                <w:rFonts w:ascii="Times New Roman" w:hAnsi="Times New Roman" w:cs="Times New Roman"/>
                <w:b/>
              </w:rPr>
            </w:pPr>
          </w:p>
        </w:tc>
      </w:tr>
      <w:tr w:rsidR="00BA4AFC" w:rsidRPr="00A80E7D" w14:paraId="142CD07A" w14:textId="77777777" w:rsidTr="007A1B9F">
        <w:tc>
          <w:tcPr>
            <w:tcW w:w="9209" w:type="dxa"/>
          </w:tcPr>
          <w:p w14:paraId="2FF63A71" w14:textId="003474E2" w:rsidR="00BA4AFC" w:rsidRPr="00A80E7D" w:rsidRDefault="00124418" w:rsidP="00944E2E">
            <w:pPr>
              <w:pStyle w:val="ListParagraph"/>
              <w:numPr>
                <w:ilvl w:val="1"/>
                <w:numId w:val="4"/>
              </w:numPr>
              <w:rPr>
                <w:rFonts w:ascii="Times New Roman" w:hAnsi="Times New Roman" w:cs="Times New Roman"/>
                <w:b/>
              </w:rPr>
            </w:pPr>
            <w:r>
              <w:rPr>
                <w:rFonts w:ascii="Times New Roman" w:hAnsi="Times New Roman" w:cs="Times New Roman"/>
                <w:b/>
              </w:rPr>
              <w:t>CPV kodi</w:t>
            </w:r>
          </w:p>
        </w:tc>
      </w:tr>
      <w:tr w:rsidR="00B53CFE" w:rsidRPr="00B53CFE" w14:paraId="39D2B2F9" w14:textId="77777777" w:rsidTr="007A1B9F">
        <w:tc>
          <w:tcPr>
            <w:tcW w:w="9209" w:type="dxa"/>
          </w:tcPr>
          <w:p w14:paraId="27146399" w14:textId="75B093C6" w:rsidR="009E2623" w:rsidRDefault="009A0085" w:rsidP="00B53CFE">
            <w:pPr>
              <w:rPr>
                <w:rFonts w:ascii="Times New Roman" w:eastAsia="Times New Roman" w:hAnsi="Times New Roman" w:cs="Times New Roman"/>
                <w:lang w:eastAsia="ar-SA"/>
              </w:rPr>
            </w:pPr>
            <w:r w:rsidRPr="009A0085">
              <w:rPr>
                <w:rFonts w:ascii="Times New Roman" w:eastAsia="Times New Roman" w:hAnsi="Times New Roman" w:cs="Times New Roman"/>
                <w:lang w:eastAsia="ar-SA"/>
              </w:rPr>
              <w:t>33100000-1</w:t>
            </w:r>
            <w:r w:rsidR="00B53CFE" w:rsidRPr="009A0085">
              <w:rPr>
                <w:rFonts w:ascii="Times New Roman" w:eastAsia="Times New Roman" w:hAnsi="Times New Roman" w:cs="Times New Roman"/>
                <w:lang w:eastAsia="ar-SA"/>
              </w:rPr>
              <w:t xml:space="preserve"> (</w:t>
            </w:r>
            <w:r w:rsidRPr="009A0085">
              <w:rPr>
                <w:rFonts w:ascii="Times New Roman" w:eastAsia="Times New Roman" w:hAnsi="Times New Roman" w:cs="Times New Roman"/>
                <w:i/>
                <w:lang w:eastAsia="ar-SA"/>
              </w:rPr>
              <w:t>Medicīniskās ierīces</w:t>
            </w:r>
            <w:r w:rsidR="00B53CFE" w:rsidRPr="00B53CFE">
              <w:rPr>
                <w:rFonts w:ascii="Times New Roman" w:eastAsia="Times New Roman" w:hAnsi="Times New Roman" w:cs="Times New Roman"/>
                <w:lang w:eastAsia="ar-SA"/>
              </w:rPr>
              <w:t>.</w:t>
            </w:r>
            <w:r w:rsidR="00B53CFE">
              <w:rPr>
                <w:rFonts w:ascii="Times New Roman" w:eastAsia="Times New Roman" w:hAnsi="Times New Roman" w:cs="Times New Roman"/>
                <w:lang w:eastAsia="ar-SA"/>
              </w:rPr>
              <w:t>)</w:t>
            </w:r>
          </w:p>
          <w:p w14:paraId="7C21DAC5" w14:textId="155310A7" w:rsidR="00B53CFE" w:rsidRPr="00B53CFE" w:rsidRDefault="00B53CFE" w:rsidP="00B53CFE">
            <w:pPr>
              <w:rPr>
                <w:rFonts w:ascii="Times New Roman" w:eastAsia="Times New Roman" w:hAnsi="Times New Roman" w:cs="Times New Roman"/>
                <w:lang w:eastAsia="lv-LV"/>
              </w:rPr>
            </w:pPr>
          </w:p>
        </w:tc>
      </w:tr>
      <w:tr w:rsidR="00852988" w:rsidRPr="00AF5A48" w14:paraId="48FD0877" w14:textId="77777777" w:rsidTr="007A1B9F">
        <w:trPr>
          <w:trHeight w:val="132"/>
        </w:trPr>
        <w:tc>
          <w:tcPr>
            <w:tcW w:w="9209" w:type="dxa"/>
          </w:tcPr>
          <w:p w14:paraId="716BA099" w14:textId="737DAF52" w:rsidR="00852988" w:rsidRPr="00AF5A48" w:rsidRDefault="00AF5A48" w:rsidP="00442D65">
            <w:pPr>
              <w:pStyle w:val="NoSpacing"/>
              <w:numPr>
                <w:ilvl w:val="1"/>
                <w:numId w:val="26"/>
              </w:numPr>
              <w:rPr>
                <w:b/>
                <w:sz w:val="22"/>
                <w:szCs w:val="22"/>
              </w:rPr>
            </w:pPr>
            <w:r w:rsidRPr="00AF5A48">
              <w:rPr>
                <w:b/>
                <w:sz w:val="22"/>
                <w:szCs w:val="22"/>
              </w:rPr>
              <w:t>Līguma izpildes laiks un vieta</w:t>
            </w:r>
          </w:p>
        </w:tc>
      </w:tr>
      <w:tr w:rsidR="00442D65" w:rsidRPr="00A80E7D" w14:paraId="78AE1214" w14:textId="77777777" w:rsidTr="009A0085">
        <w:trPr>
          <w:trHeight w:val="625"/>
        </w:trPr>
        <w:tc>
          <w:tcPr>
            <w:tcW w:w="9209" w:type="dxa"/>
          </w:tcPr>
          <w:p w14:paraId="272E0BD0" w14:textId="1C49B980" w:rsidR="00AF5A48" w:rsidRPr="009B3DCE" w:rsidRDefault="009A0085" w:rsidP="00AF5A48">
            <w:pPr>
              <w:pStyle w:val="ListParagraph"/>
              <w:numPr>
                <w:ilvl w:val="2"/>
                <w:numId w:val="26"/>
              </w:numPr>
              <w:suppressAutoHyphens/>
              <w:jc w:val="both"/>
              <w:rPr>
                <w:rFonts w:ascii="Times New Roman" w:hAnsi="Times New Roman" w:cs="Times New Roman"/>
                <w:color w:val="000000"/>
              </w:rPr>
            </w:pPr>
            <w:r w:rsidRPr="009B3DCE">
              <w:rPr>
                <w:rFonts w:ascii="Times New Roman" w:hAnsi="Times New Roman" w:cs="Times New Roman"/>
              </w:rPr>
              <w:t>1 mēnesis</w:t>
            </w:r>
            <w:r w:rsidR="00DC1C16" w:rsidRPr="009B3DCE">
              <w:rPr>
                <w:rFonts w:ascii="Times New Roman" w:hAnsi="Times New Roman" w:cs="Times New Roman"/>
              </w:rPr>
              <w:t>.</w:t>
            </w:r>
          </w:p>
          <w:p w14:paraId="6E311721" w14:textId="57BC85F6" w:rsidR="00AF5A48" w:rsidRPr="009B3DCE" w:rsidRDefault="00AF5A48" w:rsidP="009A0085">
            <w:pPr>
              <w:pStyle w:val="ListParagraph"/>
              <w:numPr>
                <w:ilvl w:val="2"/>
                <w:numId w:val="26"/>
              </w:numPr>
              <w:suppressAutoHyphens/>
              <w:jc w:val="both"/>
              <w:rPr>
                <w:rFonts w:ascii="Times New Roman" w:hAnsi="Times New Roman" w:cs="Times New Roman"/>
                <w:color w:val="000000"/>
              </w:rPr>
            </w:pPr>
            <w:r w:rsidRPr="009B3DCE">
              <w:rPr>
                <w:rFonts w:ascii="Times New Roman" w:hAnsi="Times New Roman" w:cs="Times New Roman"/>
              </w:rPr>
              <w:t xml:space="preserve">Līguma izpildes vieta – </w:t>
            </w:r>
            <w:r w:rsidR="009A0085" w:rsidRPr="009B3DCE">
              <w:rPr>
                <w:rFonts w:ascii="Times New Roman" w:hAnsi="Times New Roman" w:cs="Times New Roman"/>
              </w:rPr>
              <w:t>Gaujas iela 13/15, Ādaži, Ādažu novads, LV-2164</w:t>
            </w:r>
            <w:r w:rsidR="00DC1C16" w:rsidRPr="009B3DCE">
              <w:rPr>
                <w:rFonts w:ascii="Times New Roman" w:hAnsi="Times New Roman" w:cs="Times New Roman"/>
              </w:rPr>
              <w:t>.</w:t>
            </w:r>
          </w:p>
          <w:p w14:paraId="06940C71" w14:textId="580C8872" w:rsidR="00442D65" w:rsidRPr="00AF5A48" w:rsidRDefault="00442D65" w:rsidP="00442D65">
            <w:pPr>
              <w:tabs>
                <w:tab w:val="left" w:pos="0"/>
                <w:tab w:val="left" w:pos="601"/>
              </w:tabs>
              <w:suppressAutoHyphens/>
              <w:jc w:val="both"/>
              <w:rPr>
                <w:rFonts w:ascii="Times New Roman" w:hAnsi="Times New Roman" w:cs="Times New Roman"/>
              </w:rPr>
            </w:pPr>
          </w:p>
        </w:tc>
      </w:tr>
      <w:tr w:rsidR="00AF5E28" w:rsidRPr="00A80E7D" w14:paraId="1902C5BB" w14:textId="77777777" w:rsidTr="007A1B9F">
        <w:tc>
          <w:tcPr>
            <w:tcW w:w="9209" w:type="dxa"/>
          </w:tcPr>
          <w:p w14:paraId="267CB399" w14:textId="62D35109" w:rsidR="00AF5E28" w:rsidRPr="00A80E7D" w:rsidRDefault="00AF5E28" w:rsidP="00BE32DD">
            <w:pPr>
              <w:pStyle w:val="ListParagraph"/>
              <w:numPr>
                <w:ilvl w:val="1"/>
                <w:numId w:val="26"/>
              </w:numPr>
              <w:rPr>
                <w:rFonts w:ascii="Times New Roman" w:hAnsi="Times New Roman" w:cs="Times New Roman"/>
                <w:b/>
              </w:rPr>
            </w:pPr>
            <w:r w:rsidRPr="00AC1C38">
              <w:rPr>
                <w:rFonts w:ascii="Times New Roman" w:hAnsi="Times New Roman" w:cs="Times New Roman"/>
                <w:b/>
              </w:rPr>
              <w:t>Iepirkum</w:t>
            </w:r>
            <w:r w:rsidRPr="00F87782">
              <w:rPr>
                <w:rFonts w:ascii="Times New Roman" w:hAnsi="Times New Roman" w:cs="Times New Roman"/>
                <w:b/>
              </w:rPr>
              <w:t>a procedūra</w:t>
            </w:r>
          </w:p>
        </w:tc>
      </w:tr>
      <w:tr w:rsidR="00AF5E28" w:rsidRPr="00A80E7D" w14:paraId="38EF4C30" w14:textId="77777777" w:rsidTr="007A1B9F">
        <w:tc>
          <w:tcPr>
            <w:tcW w:w="9209" w:type="dxa"/>
          </w:tcPr>
          <w:p w14:paraId="20E1C11D" w14:textId="75A4388C" w:rsidR="00AF5E28" w:rsidRPr="00B53CFE" w:rsidRDefault="00AF5E28" w:rsidP="00B53CFE">
            <w:pPr>
              <w:jc w:val="both"/>
              <w:rPr>
                <w:rFonts w:ascii="Times New Roman" w:hAnsi="Times New Roman" w:cs="Times New Roman"/>
                <w:bCs/>
              </w:rPr>
            </w:pPr>
            <w:r w:rsidRPr="00B53CFE">
              <w:rPr>
                <w:rFonts w:ascii="Times New Roman" w:hAnsi="Times New Roman" w:cs="Times New Roman"/>
                <w:bCs/>
              </w:rPr>
              <w:t>Iepirkuma procedūra tiek veikta atbilstoši Publisko iepirkumu likumam</w:t>
            </w:r>
            <w:r w:rsidRPr="00963A1D">
              <w:rPr>
                <w:rStyle w:val="FootnoteReference"/>
                <w:rFonts w:ascii="Times New Roman" w:hAnsi="Times New Roman" w:cs="Times New Roman"/>
                <w:bCs/>
              </w:rPr>
              <w:footnoteReference w:id="1"/>
            </w:r>
            <w:r w:rsidRPr="00B53CFE">
              <w:rPr>
                <w:rFonts w:ascii="Times New Roman" w:hAnsi="Times New Roman" w:cs="Times New Roman"/>
                <w:bCs/>
              </w:rPr>
              <w:t>. Iepirkuma procedūras veids ir atklāts konkurss.</w:t>
            </w:r>
          </w:p>
          <w:p w14:paraId="321A605B" w14:textId="77777777" w:rsidR="00AF5E28" w:rsidRPr="00B53CFE" w:rsidRDefault="00AF5E28" w:rsidP="00B53CFE">
            <w:pPr>
              <w:jc w:val="both"/>
              <w:rPr>
                <w:rFonts w:ascii="Times New Roman" w:hAnsi="Times New Roman" w:cs="Times New Roman"/>
              </w:rPr>
            </w:pPr>
          </w:p>
        </w:tc>
      </w:tr>
      <w:tr w:rsidR="00AF5E28" w:rsidRPr="00A80E7D" w14:paraId="7F9E0DD7" w14:textId="77777777" w:rsidTr="007A1B9F">
        <w:tc>
          <w:tcPr>
            <w:tcW w:w="9209" w:type="dxa"/>
          </w:tcPr>
          <w:p w14:paraId="4F4AB211" w14:textId="76B6B7D0" w:rsidR="00AF5E28" w:rsidRPr="00A80E7D" w:rsidRDefault="00AF5E28" w:rsidP="00BE32DD">
            <w:pPr>
              <w:pStyle w:val="ListParagraph"/>
              <w:numPr>
                <w:ilvl w:val="1"/>
                <w:numId w:val="26"/>
              </w:numPr>
              <w:jc w:val="both"/>
              <w:rPr>
                <w:rFonts w:ascii="Times New Roman" w:hAnsi="Times New Roman" w:cs="Times New Roman"/>
                <w:b/>
              </w:rPr>
            </w:pPr>
            <w:r w:rsidRPr="00F87782">
              <w:rPr>
                <w:rFonts w:ascii="Times New Roman" w:hAnsi="Times New Roman" w:cs="Times New Roman"/>
                <w:b/>
              </w:rPr>
              <w:t>Kontaktpersona</w:t>
            </w:r>
          </w:p>
        </w:tc>
      </w:tr>
      <w:tr w:rsidR="00AF5E28" w:rsidRPr="005D3470" w14:paraId="1547FD64" w14:textId="77777777" w:rsidTr="007A1B9F">
        <w:tc>
          <w:tcPr>
            <w:tcW w:w="9209" w:type="dxa"/>
          </w:tcPr>
          <w:p w14:paraId="1C231292" w14:textId="77777777" w:rsidR="009A0085" w:rsidRPr="009A0085" w:rsidRDefault="009A0085" w:rsidP="009A0085">
            <w:pPr>
              <w:jc w:val="both"/>
              <w:rPr>
                <w:rFonts w:ascii="Times New Roman" w:hAnsi="Times New Roman" w:cs="Times New Roman"/>
                <w:bCs/>
              </w:rPr>
            </w:pPr>
            <w:r w:rsidRPr="009A0085">
              <w:rPr>
                <w:rFonts w:ascii="Times New Roman" w:hAnsi="Times New Roman" w:cs="Times New Roman"/>
                <w:bCs/>
              </w:rPr>
              <w:t xml:space="preserve">Pēteris </w:t>
            </w:r>
            <w:proofErr w:type="spellStart"/>
            <w:r w:rsidRPr="009A0085">
              <w:rPr>
                <w:rFonts w:ascii="Times New Roman" w:hAnsi="Times New Roman" w:cs="Times New Roman"/>
                <w:bCs/>
              </w:rPr>
              <w:t>Pultraks</w:t>
            </w:r>
            <w:proofErr w:type="spellEnd"/>
          </w:p>
          <w:p w14:paraId="088C247A" w14:textId="77777777" w:rsidR="009A0085" w:rsidRPr="009A0085" w:rsidRDefault="009A0085" w:rsidP="009A0085">
            <w:pPr>
              <w:jc w:val="both"/>
              <w:rPr>
                <w:rFonts w:ascii="Times New Roman" w:hAnsi="Times New Roman" w:cs="Times New Roman"/>
                <w:bCs/>
              </w:rPr>
            </w:pPr>
            <w:r w:rsidRPr="009A0085">
              <w:rPr>
                <w:rFonts w:ascii="Times New Roman" w:hAnsi="Times New Roman" w:cs="Times New Roman"/>
                <w:bCs/>
              </w:rPr>
              <w:t>Tālruņa numurs :</w:t>
            </w:r>
            <w:r w:rsidRPr="009A0085">
              <w:rPr>
                <w:rFonts w:ascii="Times New Roman" w:hAnsi="Times New Roman" w:cs="Times New Roman"/>
                <w:bCs/>
              </w:rPr>
              <w:tab/>
              <w:t>67997535</w:t>
            </w:r>
          </w:p>
          <w:p w14:paraId="03600559" w14:textId="77777777" w:rsidR="009A0085" w:rsidRPr="009A0085" w:rsidRDefault="009A0085" w:rsidP="009A0085">
            <w:pPr>
              <w:jc w:val="both"/>
              <w:rPr>
                <w:rFonts w:ascii="Times New Roman" w:hAnsi="Times New Roman" w:cs="Times New Roman"/>
                <w:bCs/>
              </w:rPr>
            </w:pPr>
            <w:r w:rsidRPr="009A0085">
              <w:rPr>
                <w:rFonts w:ascii="Times New Roman" w:hAnsi="Times New Roman" w:cs="Times New Roman"/>
                <w:bCs/>
              </w:rPr>
              <w:t xml:space="preserve">E-pasta adrese: </w:t>
            </w:r>
            <w:r w:rsidRPr="009A0085">
              <w:rPr>
                <w:rFonts w:ascii="Times New Roman" w:hAnsi="Times New Roman" w:cs="Times New Roman"/>
                <w:bCs/>
              </w:rPr>
              <w:tab/>
              <w:t>slimnīca@adazuslimnica.lv</w:t>
            </w:r>
          </w:p>
          <w:p w14:paraId="28851A20" w14:textId="4CD9C44E" w:rsidR="00AF5E28" w:rsidRPr="005D3470" w:rsidRDefault="009A0085" w:rsidP="003A5E70">
            <w:pPr>
              <w:jc w:val="both"/>
              <w:rPr>
                <w:rFonts w:ascii="Times New Roman" w:hAnsi="Times New Roman" w:cs="Times New Roman"/>
              </w:rPr>
            </w:pPr>
            <w:r w:rsidRPr="009A0085">
              <w:rPr>
                <w:rFonts w:ascii="Times New Roman" w:hAnsi="Times New Roman" w:cs="Times New Roman"/>
                <w:bCs/>
              </w:rPr>
              <w:t xml:space="preserve">Darba laiks: </w:t>
            </w:r>
            <w:r w:rsidRPr="009A0085">
              <w:rPr>
                <w:rFonts w:ascii="Times New Roman" w:hAnsi="Times New Roman" w:cs="Times New Roman"/>
                <w:bCs/>
              </w:rPr>
              <w:tab/>
              <w:t>Katru darba dienu: 9.00-16.00</w:t>
            </w:r>
            <w:r w:rsidR="00AF5E28" w:rsidRPr="005D3470">
              <w:rPr>
                <w:rFonts w:ascii="Times New Roman" w:hAnsi="Times New Roman" w:cs="Times New Roman"/>
                <w:bCs/>
                <w:u w:val="single"/>
              </w:rPr>
              <w:t>.</w:t>
            </w:r>
          </w:p>
        </w:tc>
      </w:tr>
      <w:tr w:rsidR="003001BD" w:rsidRPr="005D3470" w14:paraId="45CDA967" w14:textId="77777777" w:rsidTr="007A1B9F">
        <w:tc>
          <w:tcPr>
            <w:tcW w:w="9209" w:type="dxa"/>
          </w:tcPr>
          <w:p w14:paraId="60555C95" w14:textId="62449478" w:rsidR="003001BD" w:rsidRPr="003001BD" w:rsidRDefault="003001BD" w:rsidP="003001BD">
            <w:pPr>
              <w:pStyle w:val="ListParagraph"/>
              <w:numPr>
                <w:ilvl w:val="1"/>
                <w:numId w:val="26"/>
              </w:numPr>
              <w:jc w:val="both"/>
              <w:rPr>
                <w:rFonts w:ascii="Times New Roman" w:hAnsi="Times New Roman" w:cs="Times New Roman"/>
                <w:b/>
                <w:bCs/>
              </w:rPr>
            </w:pPr>
            <w:r>
              <w:rPr>
                <w:rFonts w:ascii="Times New Roman" w:hAnsi="Times New Roman" w:cs="Times New Roman"/>
                <w:b/>
                <w:bCs/>
              </w:rPr>
              <w:t>Informācija par iepirkumu līgumu slēgšanu</w:t>
            </w:r>
          </w:p>
        </w:tc>
      </w:tr>
      <w:tr w:rsidR="003001BD" w:rsidRPr="005D3470" w14:paraId="024B874B" w14:textId="77777777" w:rsidTr="007A1B9F">
        <w:tc>
          <w:tcPr>
            <w:tcW w:w="9209" w:type="dxa"/>
          </w:tcPr>
          <w:p w14:paraId="639FBE11" w14:textId="2D12FF52" w:rsidR="003001BD" w:rsidRPr="009B3DCE" w:rsidRDefault="003A5E70" w:rsidP="003A5E70">
            <w:pPr>
              <w:pStyle w:val="ListParagraph"/>
              <w:numPr>
                <w:ilvl w:val="2"/>
                <w:numId w:val="26"/>
              </w:numPr>
              <w:jc w:val="both"/>
              <w:rPr>
                <w:rFonts w:ascii="Times New Roman" w:hAnsi="Times New Roman" w:cs="Times New Roman"/>
                <w:bCs/>
              </w:rPr>
            </w:pPr>
            <w:r w:rsidRPr="009B3DCE">
              <w:rPr>
                <w:rFonts w:ascii="Times New Roman" w:hAnsi="Times New Roman" w:cs="Times New Roman"/>
                <w:bCs/>
              </w:rPr>
              <w:lastRenderedPageBreak/>
              <w:t>Pasūtītājs par datortomogrāfa piegādi samaksu veiks 100% apmērā pēc preces pilnas piegādes saskaņā ar tehniskajām specifikācijām.</w:t>
            </w:r>
          </w:p>
        </w:tc>
      </w:tr>
      <w:tr w:rsidR="00AF5E28" w:rsidRPr="00A80E7D" w14:paraId="31D2E25C" w14:textId="77777777" w:rsidTr="007A1B9F">
        <w:tc>
          <w:tcPr>
            <w:tcW w:w="9209" w:type="dxa"/>
          </w:tcPr>
          <w:p w14:paraId="05D0AEE9" w14:textId="6A9FB6C0" w:rsidR="00AF5E28" w:rsidRPr="00A80E7D" w:rsidRDefault="00987638" w:rsidP="00BE32DD">
            <w:pPr>
              <w:pStyle w:val="ListParagraph"/>
              <w:numPr>
                <w:ilvl w:val="1"/>
                <w:numId w:val="26"/>
              </w:numPr>
              <w:jc w:val="both"/>
              <w:rPr>
                <w:rFonts w:ascii="Times New Roman" w:hAnsi="Times New Roman" w:cs="Times New Roman"/>
                <w:b/>
              </w:rPr>
            </w:pPr>
            <w:r>
              <w:rPr>
                <w:rFonts w:ascii="Times New Roman" w:hAnsi="Times New Roman" w:cs="Times New Roman"/>
                <w:b/>
              </w:rPr>
              <w:t>Piedāvājumu iesniegšanas vieta un laiks</w:t>
            </w:r>
          </w:p>
        </w:tc>
      </w:tr>
      <w:tr w:rsidR="00AF5E28" w:rsidRPr="00A80E7D" w14:paraId="1CBB3A3A" w14:textId="77777777" w:rsidTr="007A1B9F">
        <w:tc>
          <w:tcPr>
            <w:tcW w:w="9209" w:type="dxa"/>
          </w:tcPr>
          <w:p w14:paraId="7A9D9501" w14:textId="1B2065D6" w:rsidR="00987638" w:rsidRPr="009B3DCE" w:rsidRDefault="00987638" w:rsidP="00987638">
            <w:pPr>
              <w:pStyle w:val="NoSpacing"/>
              <w:numPr>
                <w:ilvl w:val="2"/>
                <w:numId w:val="26"/>
              </w:numPr>
              <w:jc w:val="both"/>
              <w:rPr>
                <w:b/>
                <w:sz w:val="22"/>
                <w:szCs w:val="22"/>
              </w:rPr>
            </w:pPr>
            <w:r w:rsidRPr="009B3DCE">
              <w:rPr>
                <w:sz w:val="22"/>
                <w:szCs w:val="22"/>
              </w:rPr>
              <w:t>Piedāvājumi iesniedzami Elektronisko iepirkumu sistēmas (turpmāk tekstā – EIS) e-konkursu apakšsistēmā (</w:t>
            </w:r>
            <w:hyperlink r:id="rId8" w:history="1">
              <w:r w:rsidRPr="009B3DCE">
                <w:rPr>
                  <w:rStyle w:val="Hyperlink"/>
                  <w:sz w:val="22"/>
                  <w:szCs w:val="22"/>
                </w:rPr>
                <w:t>https://www.eis.gov.lv/EKEIS/Supplier/</w:t>
              </w:r>
            </w:hyperlink>
            <w:r w:rsidRPr="009B3DCE">
              <w:rPr>
                <w:sz w:val="22"/>
                <w:szCs w:val="22"/>
              </w:rPr>
              <w:t>)</w:t>
            </w:r>
            <w:r w:rsidR="00F36D0E" w:rsidRPr="009B3DCE">
              <w:rPr>
                <w:b/>
                <w:sz w:val="22"/>
                <w:szCs w:val="22"/>
              </w:rPr>
              <w:t xml:space="preserve"> līdz 2018</w:t>
            </w:r>
            <w:r w:rsidRPr="009B3DCE">
              <w:rPr>
                <w:b/>
                <w:sz w:val="22"/>
                <w:szCs w:val="22"/>
              </w:rPr>
              <w:t xml:space="preserve">.gada </w:t>
            </w:r>
            <w:r w:rsidR="007C7806" w:rsidRPr="009B3DCE">
              <w:rPr>
                <w:b/>
                <w:sz w:val="22"/>
                <w:szCs w:val="22"/>
              </w:rPr>
              <w:t>24</w:t>
            </w:r>
            <w:r w:rsidRPr="009B3DCE">
              <w:rPr>
                <w:b/>
                <w:sz w:val="22"/>
                <w:szCs w:val="22"/>
              </w:rPr>
              <w:t>.</w:t>
            </w:r>
            <w:r w:rsidR="00F36D0E" w:rsidRPr="009B3DCE">
              <w:rPr>
                <w:b/>
                <w:sz w:val="22"/>
                <w:szCs w:val="22"/>
              </w:rPr>
              <w:t xml:space="preserve">janvārim </w:t>
            </w:r>
            <w:r w:rsidRPr="009B3DCE">
              <w:rPr>
                <w:b/>
                <w:sz w:val="22"/>
                <w:szCs w:val="22"/>
              </w:rPr>
              <w:t>plkst.1</w:t>
            </w:r>
            <w:r w:rsidR="007C7806" w:rsidRPr="009B3DCE">
              <w:rPr>
                <w:b/>
                <w:sz w:val="22"/>
                <w:szCs w:val="22"/>
              </w:rPr>
              <w:t>3</w:t>
            </w:r>
            <w:r w:rsidRPr="009B3DCE">
              <w:rPr>
                <w:b/>
                <w:sz w:val="22"/>
                <w:szCs w:val="22"/>
              </w:rPr>
              <w:t>:00</w:t>
            </w:r>
            <w:r w:rsidRPr="009B3DCE">
              <w:rPr>
                <w:sz w:val="22"/>
                <w:szCs w:val="22"/>
              </w:rPr>
              <w:t>.</w:t>
            </w:r>
          </w:p>
          <w:p w14:paraId="72CE3615" w14:textId="3AA4D31A" w:rsidR="00987638" w:rsidRPr="009B3DCE" w:rsidRDefault="00987638" w:rsidP="00987638">
            <w:pPr>
              <w:pStyle w:val="NoSpacing"/>
              <w:numPr>
                <w:ilvl w:val="2"/>
                <w:numId w:val="26"/>
              </w:numPr>
              <w:jc w:val="both"/>
              <w:rPr>
                <w:b/>
                <w:sz w:val="22"/>
                <w:szCs w:val="22"/>
              </w:rPr>
            </w:pPr>
            <w:r w:rsidRPr="009B3DCE">
              <w:rPr>
                <w:sz w:val="22"/>
                <w:szCs w:val="22"/>
              </w:rPr>
              <w:t xml:space="preserve">Ievērojot Publisko iepirkumu likuma 39.panta pirmajā daļā noteikto, </w:t>
            </w:r>
            <w:r w:rsidRPr="009B3DCE">
              <w:rPr>
                <w:b/>
                <w:sz w:val="22"/>
                <w:szCs w:val="22"/>
                <w:u w:val="single"/>
              </w:rPr>
              <w:t>piedāvājumi ir iesniedzami tikai elektroniski</w:t>
            </w:r>
            <w:r w:rsidRPr="009B3DCE">
              <w:rPr>
                <w:b/>
                <w:sz w:val="22"/>
                <w:szCs w:val="22"/>
              </w:rPr>
              <w:t xml:space="preserve"> </w:t>
            </w:r>
            <w:r w:rsidRPr="009B3DCE">
              <w:rPr>
                <w:sz w:val="22"/>
                <w:szCs w:val="22"/>
              </w:rPr>
              <w:t>EIS e-konkursu apakšsistēmā.</w:t>
            </w:r>
            <w:r w:rsidRPr="009B3DCE">
              <w:rPr>
                <w:b/>
                <w:sz w:val="22"/>
                <w:szCs w:val="22"/>
              </w:rPr>
              <w:t xml:space="preserve"> </w:t>
            </w:r>
            <w:r w:rsidRPr="009B3DCE">
              <w:rPr>
                <w:sz w:val="22"/>
                <w:szCs w:val="22"/>
              </w:rPr>
              <w:t>Pēc noteiktā termiņa vai ārpus EIS e-konkursu apakšsistēmas iesniegtie piedāvājumi tiks atzīti par neatbilstošiem nolikuma prasībām un tiks atgriezti iesniedzējiem.</w:t>
            </w:r>
          </w:p>
          <w:p w14:paraId="505E9AA3" w14:textId="621936C3" w:rsidR="00AF5E28" w:rsidRPr="009B3DCE" w:rsidRDefault="00987638" w:rsidP="00987638">
            <w:pPr>
              <w:pStyle w:val="NoSpacing"/>
              <w:numPr>
                <w:ilvl w:val="2"/>
                <w:numId w:val="26"/>
              </w:numPr>
              <w:jc w:val="both"/>
              <w:rPr>
                <w:rFonts w:eastAsiaTheme="minorHAnsi" w:cstheme="minorBidi"/>
                <w:b/>
                <w:sz w:val="22"/>
                <w:szCs w:val="22"/>
              </w:rPr>
            </w:pPr>
            <w:r w:rsidRPr="009B3DCE">
              <w:rPr>
                <w:sz w:val="22"/>
                <w:szCs w:val="22"/>
              </w:rPr>
              <w:t xml:space="preserve">Piedāvājumu noformē atbilstoši </w:t>
            </w:r>
            <w:r w:rsidR="001D554E" w:rsidRPr="009B3DCE">
              <w:rPr>
                <w:sz w:val="22"/>
                <w:szCs w:val="22"/>
              </w:rPr>
              <w:t>nolikuma 4</w:t>
            </w:r>
            <w:r w:rsidRPr="009B3DCE">
              <w:rPr>
                <w:sz w:val="22"/>
                <w:szCs w:val="22"/>
              </w:rPr>
              <w:t>.pielikuma “Prasības piedāvājum</w:t>
            </w:r>
            <w:r w:rsidR="002C5BEA" w:rsidRPr="009B3DCE">
              <w:rPr>
                <w:sz w:val="22"/>
                <w:szCs w:val="22"/>
              </w:rPr>
              <w:t>a</w:t>
            </w:r>
            <w:r w:rsidRPr="009B3DCE">
              <w:rPr>
                <w:sz w:val="22"/>
                <w:szCs w:val="22"/>
              </w:rPr>
              <w:t xml:space="preserve"> noformēšanai</w:t>
            </w:r>
            <w:r w:rsidR="00DC1C16" w:rsidRPr="009B3DCE">
              <w:rPr>
                <w:sz w:val="22"/>
                <w:szCs w:val="22"/>
              </w:rPr>
              <w:t xml:space="preserve"> un iesniegšanai</w:t>
            </w:r>
            <w:r w:rsidRPr="009B3DCE">
              <w:rPr>
                <w:sz w:val="22"/>
                <w:szCs w:val="22"/>
              </w:rPr>
              <w:t>” noteikumiem.</w:t>
            </w:r>
          </w:p>
          <w:p w14:paraId="078BE41F" w14:textId="13A99C5A" w:rsidR="00987638" w:rsidRPr="00987638" w:rsidRDefault="00987638" w:rsidP="00987638">
            <w:pPr>
              <w:pStyle w:val="NoSpacing"/>
              <w:jc w:val="both"/>
              <w:rPr>
                <w:rFonts w:eastAsiaTheme="minorHAnsi" w:cstheme="minorBidi"/>
                <w:b/>
                <w:sz w:val="22"/>
                <w:szCs w:val="22"/>
              </w:rPr>
            </w:pPr>
          </w:p>
        </w:tc>
      </w:tr>
      <w:tr w:rsidR="00AF5E28" w:rsidRPr="00A80E7D" w14:paraId="1D7E2A8A" w14:textId="77777777" w:rsidTr="007A1B9F">
        <w:tc>
          <w:tcPr>
            <w:tcW w:w="9209" w:type="dxa"/>
          </w:tcPr>
          <w:p w14:paraId="7F87F2E5" w14:textId="3596A229" w:rsidR="00AF5E28" w:rsidRPr="00AF5E28" w:rsidRDefault="00AF5E28" w:rsidP="00BE32DD">
            <w:pPr>
              <w:pStyle w:val="ListParagraph"/>
              <w:numPr>
                <w:ilvl w:val="1"/>
                <w:numId w:val="26"/>
              </w:numPr>
              <w:jc w:val="both"/>
              <w:rPr>
                <w:rFonts w:ascii="Times New Roman" w:hAnsi="Times New Roman" w:cs="Times New Roman"/>
                <w:b/>
              </w:rPr>
            </w:pPr>
            <w:r w:rsidRPr="00AF5E28">
              <w:rPr>
                <w:rFonts w:ascii="Times New Roman" w:hAnsi="Times New Roman" w:cs="Times New Roman"/>
                <w:b/>
              </w:rPr>
              <w:t>Piedāvājumu atvēršanas vieta un laiks</w:t>
            </w:r>
          </w:p>
        </w:tc>
      </w:tr>
      <w:tr w:rsidR="00AF5E28" w:rsidRPr="00A80E7D" w14:paraId="2EC4A2BC" w14:textId="77777777" w:rsidTr="007A1B9F">
        <w:trPr>
          <w:trHeight w:val="567"/>
        </w:trPr>
        <w:tc>
          <w:tcPr>
            <w:tcW w:w="9209" w:type="dxa"/>
          </w:tcPr>
          <w:p w14:paraId="4218A79F" w14:textId="45BB3B75" w:rsidR="00987638" w:rsidRPr="009B3DCE" w:rsidRDefault="00987638" w:rsidP="007C7806">
            <w:pPr>
              <w:pStyle w:val="NoSpacing"/>
              <w:numPr>
                <w:ilvl w:val="2"/>
                <w:numId w:val="26"/>
              </w:numPr>
              <w:jc w:val="both"/>
              <w:rPr>
                <w:sz w:val="22"/>
                <w:szCs w:val="22"/>
              </w:rPr>
            </w:pPr>
            <w:r w:rsidRPr="009B3DCE">
              <w:rPr>
                <w:sz w:val="22"/>
                <w:szCs w:val="22"/>
              </w:rPr>
              <w:t xml:space="preserve">Piedāvājumu atvēršana notiek </w:t>
            </w:r>
            <w:r w:rsidR="007C7806" w:rsidRPr="009B3DCE">
              <w:rPr>
                <w:sz w:val="22"/>
                <w:szCs w:val="22"/>
              </w:rPr>
              <w:t>PSIA “Ādažu slimnīca” telpās</w:t>
            </w:r>
            <w:r w:rsidRPr="009B3DCE">
              <w:rPr>
                <w:sz w:val="22"/>
                <w:szCs w:val="22"/>
              </w:rPr>
              <w:t xml:space="preserve">, </w:t>
            </w:r>
            <w:r w:rsidR="007C7806" w:rsidRPr="009B3DCE">
              <w:rPr>
                <w:sz w:val="22"/>
                <w:szCs w:val="22"/>
              </w:rPr>
              <w:t>Gaujas iela 13/15, Ādaži</w:t>
            </w:r>
            <w:r w:rsidRPr="009B3DCE">
              <w:rPr>
                <w:sz w:val="22"/>
                <w:szCs w:val="22"/>
              </w:rPr>
              <w:t xml:space="preserve">, </w:t>
            </w:r>
            <w:r w:rsidR="00AE7A58" w:rsidRPr="009B3DCE">
              <w:rPr>
                <w:sz w:val="22"/>
                <w:szCs w:val="22"/>
              </w:rPr>
              <w:t xml:space="preserve">2018.gada </w:t>
            </w:r>
            <w:r w:rsidR="007C7806" w:rsidRPr="009B3DCE">
              <w:rPr>
                <w:sz w:val="22"/>
                <w:szCs w:val="22"/>
              </w:rPr>
              <w:t>24</w:t>
            </w:r>
            <w:r w:rsidRPr="009B3DCE">
              <w:rPr>
                <w:sz w:val="22"/>
                <w:szCs w:val="22"/>
              </w:rPr>
              <w:t>.</w:t>
            </w:r>
            <w:r w:rsidR="00AE7A58" w:rsidRPr="009B3DCE">
              <w:rPr>
                <w:sz w:val="22"/>
                <w:szCs w:val="22"/>
              </w:rPr>
              <w:t>janvārī</w:t>
            </w:r>
            <w:r w:rsidRPr="009B3DCE">
              <w:rPr>
                <w:sz w:val="22"/>
                <w:szCs w:val="22"/>
              </w:rPr>
              <w:t xml:space="preserve"> plkst.1</w:t>
            </w:r>
            <w:r w:rsidR="007C7806" w:rsidRPr="009B3DCE">
              <w:rPr>
                <w:sz w:val="22"/>
                <w:szCs w:val="22"/>
              </w:rPr>
              <w:t>3</w:t>
            </w:r>
            <w:r w:rsidRPr="009B3DCE">
              <w:rPr>
                <w:sz w:val="22"/>
                <w:szCs w:val="22"/>
              </w:rPr>
              <w:t>:00 tūlīt pēc piedāvājumu iesniegšanas termiņa beigām.</w:t>
            </w:r>
          </w:p>
          <w:p w14:paraId="46E35288" w14:textId="057FAE1B" w:rsidR="00987638" w:rsidRPr="009B3DCE" w:rsidRDefault="00987638" w:rsidP="00987638">
            <w:pPr>
              <w:pStyle w:val="NoSpacing"/>
              <w:numPr>
                <w:ilvl w:val="2"/>
                <w:numId w:val="26"/>
              </w:numPr>
              <w:jc w:val="both"/>
              <w:rPr>
                <w:sz w:val="22"/>
                <w:szCs w:val="22"/>
              </w:rPr>
            </w:pPr>
            <w:r w:rsidRPr="009B3DCE">
              <w:rPr>
                <w:sz w:val="22"/>
                <w:szCs w:val="22"/>
              </w:rPr>
              <w:t>Piedāvājumu atvēršanas sanāksme ir atklāta un tajā var piedalīties visas ieinteresētās personas, reģistrējoties piedāvājumu atvēršanas sanāksmes reģistrācijas lapā. Iesniegto piedāvājumu atvēršanas procesam var sekot līdzi tiešsaistes režīmā EIS e-konkursu apakšsistēmā.</w:t>
            </w:r>
          </w:p>
          <w:p w14:paraId="19E20818" w14:textId="5ADF21F7" w:rsidR="00987638" w:rsidRPr="009B3DCE" w:rsidRDefault="00987638" w:rsidP="00987638">
            <w:pPr>
              <w:pStyle w:val="NoSpacing"/>
              <w:numPr>
                <w:ilvl w:val="2"/>
                <w:numId w:val="26"/>
              </w:numPr>
              <w:jc w:val="both"/>
              <w:rPr>
                <w:sz w:val="22"/>
                <w:szCs w:val="22"/>
              </w:rPr>
            </w:pPr>
            <w:r w:rsidRPr="009B3DCE">
              <w:rPr>
                <w:sz w:val="22"/>
                <w:szCs w:val="22"/>
              </w:rPr>
              <w:t>Piedāvājumu atvēršana notiek</w:t>
            </w:r>
            <w:r w:rsidR="002C5BEA" w:rsidRPr="009B3DCE">
              <w:rPr>
                <w:sz w:val="22"/>
                <w:szCs w:val="22"/>
              </w:rPr>
              <w:t xml:space="preserve">, </w:t>
            </w:r>
            <w:r w:rsidRPr="009B3DCE">
              <w:rPr>
                <w:sz w:val="22"/>
                <w:szCs w:val="22"/>
              </w:rPr>
              <w:t xml:space="preserve">izmantojot tīmekļvietnē </w:t>
            </w:r>
            <w:hyperlink r:id="rId9" w:history="1">
              <w:r w:rsidRPr="009B3DCE">
                <w:rPr>
                  <w:rStyle w:val="Hyperlink"/>
                  <w:sz w:val="22"/>
                  <w:szCs w:val="22"/>
                </w:rPr>
                <w:t>www.eis.gov.lv</w:t>
              </w:r>
            </w:hyperlink>
            <w:r w:rsidRPr="009B3DCE">
              <w:rPr>
                <w:sz w:val="22"/>
                <w:szCs w:val="22"/>
              </w:rPr>
              <w:t xml:space="preserve"> pieejamos rīkus piedāvājumu elektroniskai saņemšanai.</w:t>
            </w:r>
          </w:p>
          <w:p w14:paraId="0F5D4EA6" w14:textId="3D26DD31" w:rsidR="00987638" w:rsidRPr="009B3DCE" w:rsidRDefault="00987638" w:rsidP="00987638">
            <w:pPr>
              <w:pStyle w:val="NoSpacing"/>
              <w:numPr>
                <w:ilvl w:val="2"/>
                <w:numId w:val="26"/>
              </w:numPr>
              <w:jc w:val="both"/>
              <w:rPr>
                <w:sz w:val="22"/>
                <w:szCs w:val="22"/>
              </w:rPr>
            </w:pPr>
            <w:r w:rsidRPr="009B3DCE">
              <w:rPr>
                <w:sz w:val="22"/>
                <w:szCs w:val="22"/>
              </w:rPr>
              <w:t>EIS e-konkursu apakšsistēma nodrošina piedāvājumu pirmā līmeņa šifrēšanu. Ja pretendents piedāvājuma datu aizsardzībai izmantojis piedāvājuma šifrēšanu, pretendentam, ne vēlāk ka 15 (</w:t>
            </w:r>
            <w:r w:rsidRPr="009B3DCE">
              <w:rPr>
                <w:i/>
                <w:sz w:val="22"/>
                <w:szCs w:val="22"/>
              </w:rPr>
              <w:t>piecpadsmit</w:t>
            </w:r>
            <w:r w:rsidRPr="009B3DCE">
              <w:rPr>
                <w:sz w:val="22"/>
                <w:szCs w:val="22"/>
              </w:rPr>
              <w:t>) minūtes pēc piedāvājumu iesniegšanas termiņa beigām</w:t>
            </w:r>
            <w:r w:rsidR="002C5BEA" w:rsidRPr="009B3DCE">
              <w:rPr>
                <w:sz w:val="22"/>
                <w:szCs w:val="22"/>
              </w:rPr>
              <w:t>,</w:t>
            </w:r>
            <w:r w:rsidRPr="009B3DCE">
              <w:rPr>
                <w:sz w:val="22"/>
                <w:szCs w:val="22"/>
              </w:rPr>
              <w:t xml:space="preserve"> Komisijai jāiesniedz derīga elektroniskā atslēga ar paroli šifrētā dokumenta atvēršanai.</w:t>
            </w:r>
          </w:p>
          <w:p w14:paraId="39BBF50D" w14:textId="77777777" w:rsidR="00AF5A48" w:rsidRPr="009B3DCE" w:rsidRDefault="00987638" w:rsidP="00987638">
            <w:pPr>
              <w:pStyle w:val="NoSpacing"/>
              <w:numPr>
                <w:ilvl w:val="2"/>
                <w:numId w:val="26"/>
              </w:numPr>
              <w:jc w:val="both"/>
              <w:rPr>
                <w:rFonts w:eastAsia="Helvetica"/>
                <w:sz w:val="22"/>
                <w:szCs w:val="22"/>
              </w:rPr>
            </w:pPr>
            <w:r w:rsidRPr="009B3DCE">
              <w:rPr>
                <w:rFonts w:eastAsia="Helvetica"/>
                <w:sz w:val="22"/>
                <w:szCs w:val="22"/>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9B3DCE">
              <w:rPr>
                <w:rStyle w:val="FootnoteReference"/>
                <w:rFonts w:eastAsia="Helvetica"/>
                <w:sz w:val="22"/>
                <w:szCs w:val="22"/>
              </w:rPr>
              <w:footnoteReference w:id="2"/>
            </w:r>
            <w:r w:rsidRPr="009B3DCE">
              <w:rPr>
                <w:rFonts w:eastAsia="Helvetica"/>
                <w:sz w:val="22"/>
                <w:szCs w:val="22"/>
              </w:rPr>
              <w:t xml:space="preserve"> 14.punktā noteiktajā kārtībā.</w:t>
            </w:r>
          </w:p>
          <w:p w14:paraId="0D486E85" w14:textId="3D7B2EB7" w:rsidR="00987638" w:rsidRPr="00987638" w:rsidRDefault="00987638" w:rsidP="00987638">
            <w:pPr>
              <w:pStyle w:val="NoSpacing"/>
              <w:ind w:left="720"/>
              <w:jc w:val="both"/>
              <w:rPr>
                <w:rFonts w:eastAsia="Helvetica"/>
                <w:sz w:val="22"/>
                <w:szCs w:val="22"/>
              </w:rPr>
            </w:pPr>
          </w:p>
        </w:tc>
      </w:tr>
      <w:tr w:rsidR="00AF5E28" w:rsidRPr="00A80E7D" w14:paraId="4DDDFE4C" w14:textId="77777777" w:rsidTr="007A1B9F">
        <w:tc>
          <w:tcPr>
            <w:tcW w:w="9209" w:type="dxa"/>
          </w:tcPr>
          <w:p w14:paraId="48A3C589" w14:textId="127DEE3C" w:rsidR="00AF5E28" w:rsidRPr="00A80E7D" w:rsidRDefault="003001BD" w:rsidP="00FC5E56">
            <w:pPr>
              <w:jc w:val="both"/>
              <w:rPr>
                <w:rFonts w:ascii="Times New Roman" w:hAnsi="Times New Roman" w:cs="Times New Roman"/>
                <w:b/>
              </w:rPr>
            </w:pPr>
            <w:r>
              <w:rPr>
                <w:rFonts w:ascii="Times New Roman" w:hAnsi="Times New Roman" w:cs="Times New Roman"/>
                <w:b/>
              </w:rPr>
              <w:t>1.10</w:t>
            </w:r>
            <w:r w:rsidR="00AF5E28">
              <w:rPr>
                <w:rFonts w:ascii="Times New Roman" w:hAnsi="Times New Roman" w:cs="Times New Roman"/>
                <w:b/>
              </w:rPr>
              <w:t xml:space="preserve">. </w:t>
            </w:r>
            <w:r w:rsidR="00AF5E28" w:rsidRPr="00BF7E7E">
              <w:rPr>
                <w:rFonts w:ascii="Times New Roman" w:hAnsi="Times New Roman" w:cs="Times New Roman"/>
                <w:b/>
              </w:rPr>
              <w:t>Iepirkuma procedūras</w:t>
            </w:r>
            <w:r w:rsidR="00AF5E28" w:rsidRPr="00EA1CCE">
              <w:rPr>
                <w:rFonts w:ascii="Times New Roman" w:hAnsi="Times New Roman" w:cs="Times New Roman"/>
                <w:b/>
              </w:rPr>
              <w:t xml:space="preserve"> dokumenti</w:t>
            </w:r>
          </w:p>
        </w:tc>
      </w:tr>
      <w:tr w:rsidR="00AF5E28" w:rsidRPr="00A80E7D" w14:paraId="4AA7619F" w14:textId="77777777" w:rsidTr="007A1B9F">
        <w:tc>
          <w:tcPr>
            <w:tcW w:w="9209" w:type="dxa"/>
          </w:tcPr>
          <w:p w14:paraId="0E2CCCE8" w14:textId="27327305" w:rsidR="00987638" w:rsidRPr="003001BD" w:rsidRDefault="00987638" w:rsidP="0019730A">
            <w:pPr>
              <w:pStyle w:val="ListParagraph"/>
              <w:numPr>
                <w:ilvl w:val="2"/>
                <w:numId w:val="46"/>
              </w:numPr>
              <w:spacing w:after="120"/>
              <w:jc w:val="both"/>
              <w:rPr>
                <w:rFonts w:ascii="Times New Roman" w:hAnsi="Times New Roman"/>
              </w:rPr>
            </w:pPr>
            <w:r w:rsidRPr="003001BD">
              <w:rPr>
                <w:rFonts w:ascii="Times New Roman" w:hAnsi="Times New Roman"/>
                <w:u w:val="single"/>
              </w:rPr>
              <w:t xml:space="preserve">Nolikumam ar pielikumiem ir nodrošināta </w:t>
            </w:r>
            <w:r w:rsidRPr="003001BD">
              <w:rPr>
                <w:rFonts w:ascii="Times New Roman" w:hAnsi="Times New Roman"/>
                <w:b/>
                <w:bCs/>
                <w:u w:val="single"/>
              </w:rPr>
              <w:t>tieša un brīva elektroniskā pieeja</w:t>
            </w:r>
            <w:r w:rsidRPr="003001BD">
              <w:rPr>
                <w:rFonts w:ascii="Times New Roman" w:hAnsi="Times New Roman"/>
                <w:b/>
                <w:bCs/>
              </w:rPr>
              <w:t xml:space="preserve"> </w:t>
            </w:r>
            <w:r w:rsidR="0019730A">
              <w:rPr>
                <w:rFonts w:ascii="Times New Roman" w:hAnsi="Times New Roman"/>
              </w:rPr>
              <w:t xml:space="preserve"> </w:t>
            </w:r>
            <w:r w:rsidRPr="003001BD">
              <w:rPr>
                <w:rFonts w:ascii="Times New Roman" w:hAnsi="Times New Roman"/>
              </w:rPr>
              <w:t xml:space="preserve"> </w:t>
            </w:r>
            <w:r w:rsidR="0019730A" w:rsidRPr="009B3DCE">
              <w:rPr>
                <w:rFonts w:ascii="Times New Roman" w:hAnsi="Times New Roman" w:cs="Times New Roman"/>
              </w:rPr>
              <w:t xml:space="preserve">PSIA „Ādažu slimnīca” </w:t>
            </w:r>
            <w:r w:rsidRPr="009B3DCE">
              <w:rPr>
                <w:rFonts w:ascii="Times New Roman" w:hAnsi="Times New Roman" w:cs="Times New Roman"/>
              </w:rPr>
              <w:t xml:space="preserve">mājas lapā </w:t>
            </w:r>
            <w:r w:rsidR="0019730A" w:rsidRPr="009B3DCE">
              <w:rPr>
                <w:rFonts w:ascii="Times New Roman" w:hAnsi="Times New Roman" w:cs="Times New Roman"/>
              </w:rPr>
              <w:t>http://www.adazuslimnica.lv/iepirkumi.html</w:t>
            </w:r>
            <w:r w:rsidRPr="003001BD">
              <w:rPr>
                <w:rFonts w:ascii="Times New Roman" w:hAnsi="Times New Roman"/>
              </w:rPr>
              <w:t>, kā arī EIS e-konkursu apakšsistēmā (</w:t>
            </w:r>
            <w:hyperlink r:id="rId10" w:history="1">
              <w:r w:rsidRPr="003001BD">
                <w:rPr>
                  <w:rStyle w:val="Hyperlink"/>
                  <w:rFonts w:ascii="Times New Roman" w:hAnsi="Times New Roman"/>
                </w:rPr>
                <w:t>https://www.eis.gov.lv/EKEIS/Supplier/</w:t>
              </w:r>
            </w:hyperlink>
            <w:r w:rsidRPr="003001BD">
              <w:rPr>
                <w:rFonts w:ascii="Times New Roman" w:hAnsi="Times New Roman"/>
              </w:rPr>
              <w:t>).</w:t>
            </w:r>
          </w:p>
          <w:p w14:paraId="7A4CFDF9" w14:textId="423ABC9A" w:rsidR="00AF5E28" w:rsidRPr="003001BD" w:rsidRDefault="00987638" w:rsidP="003001BD">
            <w:pPr>
              <w:pStyle w:val="ListParagraph"/>
              <w:numPr>
                <w:ilvl w:val="2"/>
                <w:numId w:val="46"/>
              </w:numPr>
              <w:jc w:val="both"/>
              <w:rPr>
                <w:rFonts w:ascii="Times New Roman" w:hAnsi="Times New Roman" w:cs="Times New Roman"/>
              </w:rPr>
            </w:pPr>
            <w:r w:rsidRPr="003001BD">
              <w:rPr>
                <w:rFonts w:ascii="Times New Roman" w:hAnsi="Times New Roman"/>
              </w:rPr>
              <w:t>EIS reģistrēta ieinteresētā persona var reģistrēties kā Nolikuma saņēmējs; skaidrojumu sk. vietnē: </w:t>
            </w:r>
            <w:r w:rsidRPr="003001BD">
              <w:rPr>
                <w:rFonts w:ascii="Times New Roman" w:hAnsi="Times New Roman" w:cs="Times New Roman"/>
              </w:rPr>
              <w:t xml:space="preserve"> </w:t>
            </w:r>
          </w:p>
          <w:p w14:paraId="19ECD961" w14:textId="77777777" w:rsidR="00987638" w:rsidRDefault="003C56B4" w:rsidP="00987638">
            <w:pPr>
              <w:pStyle w:val="ListParagraph"/>
              <w:jc w:val="both"/>
              <w:rPr>
                <w:rStyle w:val="Hyperlink"/>
                <w:rFonts w:ascii="Times New Roman" w:hAnsi="Times New Roman"/>
              </w:rPr>
            </w:pPr>
            <w:hyperlink r:id="rId11" w:history="1">
              <w:r w:rsidR="00987638" w:rsidRPr="00AA32C7">
                <w:rPr>
                  <w:rStyle w:val="Hyperlink"/>
                  <w:rFonts w:ascii="Times New Roman" w:hAnsi="Times New Roman"/>
                </w:rPr>
                <w:t>https://www.eis.gov.lv/EIS/Publications/PublicationView.aspx?PublicationId=883</w:t>
              </w:r>
            </w:hyperlink>
            <w:r w:rsidR="00987638" w:rsidRPr="00AA32C7">
              <w:rPr>
                <w:rStyle w:val="Hyperlink"/>
                <w:rFonts w:ascii="Times New Roman" w:hAnsi="Times New Roman"/>
              </w:rPr>
              <w:t>.</w:t>
            </w:r>
            <w:r w:rsidR="00987638">
              <w:rPr>
                <w:rStyle w:val="Hyperlink"/>
                <w:rFonts w:ascii="Times New Roman" w:hAnsi="Times New Roman"/>
              </w:rPr>
              <w:t xml:space="preserve"> </w:t>
            </w:r>
          </w:p>
          <w:p w14:paraId="0A21B848" w14:textId="1366220D" w:rsidR="00987638" w:rsidRPr="00987638" w:rsidRDefault="00987638" w:rsidP="00987638">
            <w:pPr>
              <w:jc w:val="both"/>
              <w:rPr>
                <w:rFonts w:ascii="Times New Roman" w:hAnsi="Times New Roman" w:cs="Times New Roman"/>
              </w:rPr>
            </w:pPr>
          </w:p>
        </w:tc>
      </w:tr>
      <w:tr w:rsidR="00AF5E28" w:rsidRPr="00A80E7D" w14:paraId="7893AF81" w14:textId="77777777" w:rsidTr="007A1B9F">
        <w:tc>
          <w:tcPr>
            <w:tcW w:w="9209" w:type="dxa"/>
          </w:tcPr>
          <w:p w14:paraId="329E28E5" w14:textId="642AFF2B" w:rsidR="00AF5E28" w:rsidRPr="00F35C3C" w:rsidRDefault="003001BD" w:rsidP="00DA66E7">
            <w:pPr>
              <w:jc w:val="both"/>
              <w:rPr>
                <w:rFonts w:ascii="Times New Roman" w:hAnsi="Times New Roman" w:cs="Times New Roman"/>
                <w:u w:val="single"/>
              </w:rPr>
            </w:pPr>
            <w:r>
              <w:rPr>
                <w:rFonts w:ascii="Times New Roman" w:hAnsi="Times New Roman" w:cs="Times New Roman"/>
                <w:b/>
              </w:rPr>
              <w:t>1.11</w:t>
            </w:r>
            <w:r w:rsidR="00AF5E28">
              <w:rPr>
                <w:rFonts w:ascii="Times New Roman" w:hAnsi="Times New Roman" w:cs="Times New Roman"/>
                <w:b/>
              </w:rPr>
              <w:t xml:space="preserve">. </w:t>
            </w:r>
            <w:r w:rsidR="00AF5E28" w:rsidRPr="00EA1CCE">
              <w:rPr>
                <w:rFonts w:ascii="Times New Roman" w:hAnsi="Times New Roman" w:cs="Times New Roman"/>
                <w:b/>
              </w:rPr>
              <w:t>Papildu informācija</w:t>
            </w:r>
          </w:p>
        </w:tc>
      </w:tr>
      <w:tr w:rsidR="00AF5E28" w:rsidRPr="00A80E7D" w14:paraId="59B08FC7" w14:textId="77777777" w:rsidTr="007A1B9F">
        <w:tc>
          <w:tcPr>
            <w:tcW w:w="9209" w:type="dxa"/>
          </w:tcPr>
          <w:p w14:paraId="44CA0CB2" w14:textId="77777777" w:rsidR="00E44960" w:rsidRPr="00EF6D0C" w:rsidRDefault="00E44960" w:rsidP="009B3DCE">
            <w:pPr>
              <w:tabs>
                <w:tab w:val="num" w:pos="1134"/>
              </w:tabs>
              <w:spacing w:before="120" w:after="120"/>
              <w:ind w:left="567"/>
              <w:jc w:val="both"/>
              <w:rPr>
                <w:rFonts w:eastAsia="Times New Roman"/>
                <w:bCs/>
              </w:rPr>
            </w:pPr>
            <w:r w:rsidRPr="00EF6D0C">
              <w:t xml:space="preserve">Ieinteresētajiem piegādātājiem ir tiesības prasīt papildu informāciju par iepirkumu, tai skaitā, prasīt paskaidrojumus par iepirkuma nolikumu, </w:t>
            </w:r>
            <w:r w:rsidRPr="00EF6D0C">
              <w:rPr>
                <w:u w:val="single"/>
              </w:rPr>
              <w:t>vienā no šādiem veidiem</w:t>
            </w:r>
            <w:r w:rsidRPr="00EF6D0C">
              <w:t>:</w:t>
            </w:r>
          </w:p>
          <w:p w14:paraId="1655E906" w14:textId="557F179E" w:rsidR="00E44960" w:rsidRPr="00F476D1" w:rsidRDefault="00E44960" w:rsidP="00E44960">
            <w:pPr>
              <w:pStyle w:val="BodyText"/>
              <w:numPr>
                <w:ilvl w:val="2"/>
                <w:numId w:val="49"/>
              </w:numPr>
              <w:suppressAutoHyphens w:val="0"/>
              <w:spacing w:before="120" w:after="120"/>
              <w:ind w:left="1134" w:hanging="567"/>
              <w:jc w:val="both"/>
              <w:rPr>
                <w:b/>
              </w:rPr>
            </w:pPr>
            <w:r w:rsidRPr="00F476D1">
              <w:t>Elektronisko iepirkumu sistēmas e-konkursu apakšsistēmā, ja piegādātājs ir reģistrēts Elektronisko iepirkumu sistēmā un šīs iepirkuma procedūras sadaļā ir reģistrējies kā nolikuma saņēmējs;</w:t>
            </w:r>
          </w:p>
          <w:p w14:paraId="78D95548" w14:textId="3644E4EB" w:rsidR="00E44960" w:rsidRPr="003860EF" w:rsidRDefault="00E44960" w:rsidP="00E44960">
            <w:pPr>
              <w:pStyle w:val="BodyText"/>
              <w:numPr>
                <w:ilvl w:val="2"/>
                <w:numId w:val="49"/>
              </w:numPr>
              <w:suppressAutoHyphens w:val="0"/>
              <w:spacing w:before="120" w:after="120"/>
              <w:ind w:left="1134" w:hanging="567"/>
              <w:jc w:val="both"/>
              <w:rPr>
                <w:b/>
              </w:rPr>
            </w:pPr>
            <w:r w:rsidRPr="003860EF">
              <w:t>nosūtot informācijas pieprasījumus uz e-pasta adresi</w:t>
            </w:r>
            <w:r>
              <w:t>1.6.punktā norādītajai kontaktpersonai.</w:t>
            </w:r>
          </w:p>
          <w:p w14:paraId="103E4228" w14:textId="77777777" w:rsidR="00E44960" w:rsidRDefault="00E44960" w:rsidP="00AF54CE">
            <w:pPr>
              <w:pStyle w:val="NoSpacing"/>
              <w:ind w:left="743" w:hanging="709"/>
              <w:jc w:val="both"/>
              <w:rPr>
                <w:rFonts w:eastAsia="Helvetica"/>
                <w:sz w:val="22"/>
                <w:szCs w:val="22"/>
              </w:rPr>
            </w:pPr>
          </w:p>
          <w:p w14:paraId="716243AF" w14:textId="41AFAAFD" w:rsidR="00987638" w:rsidRDefault="003001BD" w:rsidP="00AF54CE">
            <w:pPr>
              <w:pStyle w:val="NoSpacing"/>
              <w:ind w:left="743" w:hanging="709"/>
              <w:jc w:val="both"/>
              <w:rPr>
                <w:sz w:val="22"/>
                <w:szCs w:val="22"/>
              </w:rPr>
            </w:pPr>
            <w:r>
              <w:rPr>
                <w:rFonts w:eastAsia="Helvetica"/>
                <w:sz w:val="22"/>
                <w:szCs w:val="22"/>
              </w:rPr>
              <w:t xml:space="preserve">1.11.1. </w:t>
            </w:r>
            <w:r w:rsidR="00987638" w:rsidRPr="00987638">
              <w:rPr>
                <w:rFonts w:eastAsia="Helvetica"/>
                <w:sz w:val="22"/>
                <w:szCs w:val="22"/>
              </w:rPr>
              <w:t>Jebkura papildu informācija, kas tiks sniegta saistībā ar šo iepirkuma procedūru, tiks publicēta pasūtītāja pircēja profilā pie nolikuma (</w:t>
            </w:r>
            <w:r w:rsidR="0019730A" w:rsidRPr="0019730A">
              <w:t>http://www.adazuslimnica.lv/iepirkumi.html</w:t>
            </w:r>
            <w:r w:rsidR="00987638" w:rsidRPr="00987638">
              <w:rPr>
                <w:sz w:val="22"/>
                <w:szCs w:val="22"/>
              </w:rPr>
              <w:t>), kā arī EIS e-konkursu apakšsistēmā (</w:t>
            </w:r>
            <w:hyperlink r:id="rId12" w:history="1">
              <w:r w:rsidR="00987638" w:rsidRPr="00987638">
                <w:rPr>
                  <w:rStyle w:val="Hyperlink"/>
                  <w:sz w:val="22"/>
                  <w:szCs w:val="22"/>
                </w:rPr>
                <w:t>https://www.eis.gov.lv/EKEIS/Supplier/</w:t>
              </w:r>
            </w:hyperlink>
            <w:r w:rsidR="00987638" w:rsidRPr="00987638">
              <w:rPr>
                <w:sz w:val="22"/>
                <w:szCs w:val="22"/>
              </w:rPr>
              <w:t>)</w:t>
            </w:r>
            <w:r w:rsidR="00987638" w:rsidRPr="00987638">
              <w:rPr>
                <w:rFonts w:eastAsia="Helvetica"/>
                <w:sz w:val="22"/>
                <w:szCs w:val="22"/>
              </w:rPr>
              <w:t>. Ieinteresētajam piegādātājam ir pienākums sekot līdzi publicētajai informācijai. Komisija nav atbildīga par to, ja kāda ieinteresētā persona nav iepazinusies ar informāciju, kam ir nodrošināta brīva un tieša elektroniskā pieeja.</w:t>
            </w:r>
          </w:p>
          <w:p w14:paraId="32562B1A" w14:textId="21EF9406" w:rsidR="00987638" w:rsidRPr="00987638" w:rsidRDefault="003001BD" w:rsidP="00AF54CE">
            <w:pPr>
              <w:pStyle w:val="NoSpacing"/>
              <w:ind w:left="743" w:hanging="709"/>
              <w:jc w:val="both"/>
              <w:rPr>
                <w:sz w:val="22"/>
                <w:szCs w:val="22"/>
              </w:rPr>
            </w:pPr>
            <w:r>
              <w:rPr>
                <w:sz w:val="22"/>
                <w:szCs w:val="22"/>
              </w:rPr>
              <w:lastRenderedPageBreak/>
              <w:t>1.11</w:t>
            </w:r>
            <w:r w:rsidR="00987638">
              <w:rPr>
                <w:sz w:val="22"/>
                <w:szCs w:val="22"/>
              </w:rPr>
              <w:t xml:space="preserve">.2. </w:t>
            </w:r>
            <w:r w:rsidR="00AF54CE">
              <w:rPr>
                <w:sz w:val="22"/>
                <w:szCs w:val="22"/>
              </w:rPr>
              <w:t xml:space="preserve"> </w:t>
            </w:r>
            <w:r w:rsidR="00987638" w:rsidRPr="00987638">
              <w:rPr>
                <w:rFonts w:eastAsia="Helvetica"/>
                <w:sz w:val="22"/>
                <w:szCs w:val="22"/>
                <w:lang w:eastAsia="en-US"/>
              </w:rPr>
              <w:t>Ja piegādātājs ir laikus pieprasījis papildu informāciju par iepirkuma procedūras dokumentos iekļautajām prasībām, Komisija to sniedz piecu darbdienu laikā, bet ne vēlāk kā sešas dienas pirms piedāvājumu iesniegšanas termiņa beigām.</w:t>
            </w:r>
          </w:p>
          <w:p w14:paraId="54CD3CBC" w14:textId="78B0AC33" w:rsidR="009D5D05" w:rsidRDefault="003001BD" w:rsidP="00AF54CE">
            <w:pPr>
              <w:pStyle w:val="NoSpacing"/>
              <w:ind w:left="743" w:hanging="743"/>
              <w:jc w:val="both"/>
              <w:rPr>
                <w:rFonts w:eastAsia="Helvetica"/>
                <w:sz w:val="22"/>
                <w:szCs w:val="22"/>
              </w:rPr>
            </w:pPr>
            <w:r>
              <w:rPr>
                <w:rFonts w:eastAsia="Helvetica"/>
                <w:sz w:val="22"/>
                <w:szCs w:val="22"/>
              </w:rPr>
              <w:t>1.11</w:t>
            </w:r>
            <w:r w:rsidR="00987638">
              <w:rPr>
                <w:rFonts w:eastAsia="Helvetica"/>
                <w:sz w:val="22"/>
                <w:szCs w:val="22"/>
              </w:rPr>
              <w:t xml:space="preserve">.3. </w:t>
            </w:r>
            <w:r w:rsidR="00AF54CE">
              <w:rPr>
                <w:rFonts w:eastAsia="Helvetica"/>
                <w:sz w:val="22"/>
                <w:szCs w:val="22"/>
              </w:rPr>
              <w:t xml:space="preserve"> P</w:t>
            </w:r>
            <w:r w:rsidR="00987638" w:rsidRPr="00987638">
              <w:rPr>
                <w:rFonts w:eastAsia="Helvetica"/>
                <w:sz w:val="22"/>
                <w:szCs w:val="22"/>
              </w:rPr>
              <w:t>apildu informāciju Komisija nosūta piegādātājam, kas uzdevis jautājumu, un vienlaikus ievieto šo informāciju pircēja profilā, kur ir pieejami iepirkuma procedūras dokumenti, norādot arī uzdoto jautājumu.</w:t>
            </w:r>
          </w:p>
          <w:p w14:paraId="69862118" w14:textId="5FB1CC88" w:rsidR="002B0FB2" w:rsidRPr="00987638" w:rsidRDefault="002B0FB2" w:rsidP="00AF54CE">
            <w:pPr>
              <w:pStyle w:val="NoSpacing"/>
              <w:ind w:left="743" w:hanging="743"/>
              <w:jc w:val="both"/>
              <w:rPr>
                <w:rFonts w:eastAsia="Helvetica"/>
                <w:sz w:val="22"/>
                <w:szCs w:val="22"/>
                <w:lang w:eastAsia="en-US"/>
              </w:rPr>
            </w:pPr>
          </w:p>
        </w:tc>
      </w:tr>
      <w:tr w:rsidR="002B0FB2" w:rsidRPr="002B0FB2" w14:paraId="41C76A9D" w14:textId="77777777" w:rsidTr="007A1B9F">
        <w:tc>
          <w:tcPr>
            <w:tcW w:w="9209" w:type="dxa"/>
          </w:tcPr>
          <w:p w14:paraId="70A33F7C" w14:textId="06C7C24A" w:rsidR="002B0FB2" w:rsidRPr="002B0FB2" w:rsidRDefault="002B0FB2" w:rsidP="003001BD">
            <w:pPr>
              <w:pStyle w:val="NoSpacing"/>
              <w:numPr>
                <w:ilvl w:val="1"/>
                <w:numId w:val="47"/>
              </w:numPr>
              <w:jc w:val="both"/>
              <w:rPr>
                <w:rFonts w:eastAsia="Helvetica"/>
                <w:b/>
                <w:sz w:val="22"/>
                <w:szCs w:val="22"/>
              </w:rPr>
            </w:pPr>
            <w:r w:rsidRPr="002B0FB2">
              <w:rPr>
                <w:rFonts w:eastAsia="Helvetica"/>
                <w:b/>
                <w:sz w:val="22"/>
                <w:szCs w:val="22"/>
              </w:rPr>
              <w:lastRenderedPageBreak/>
              <w:t>Ekvivalenti</w:t>
            </w:r>
          </w:p>
        </w:tc>
      </w:tr>
      <w:tr w:rsidR="002B0FB2" w:rsidRPr="00A80E7D" w14:paraId="70C67311" w14:textId="77777777" w:rsidTr="007A1B9F">
        <w:tc>
          <w:tcPr>
            <w:tcW w:w="9209" w:type="dxa"/>
          </w:tcPr>
          <w:p w14:paraId="5C3234BF" w14:textId="5476878C" w:rsidR="002B0FB2" w:rsidRDefault="002B0FB2" w:rsidP="002B0FB2">
            <w:pPr>
              <w:pStyle w:val="NoSpacing"/>
              <w:jc w:val="both"/>
              <w:rPr>
                <w:sz w:val="22"/>
                <w:szCs w:val="22"/>
              </w:rPr>
            </w:pPr>
            <w:r w:rsidRPr="002B0FB2">
              <w:rPr>
                <w:sz w:val="22"/>
                <w:szCs w:val="22"/>
              </w:rPr>
              <w:t xml:space="preserve">Ja iepirkuma procedūras dokumentos ir norādīta konkrēta ražotāja produkcija vai norādes par specifisku izcelsmi, īpašu procesu, kas raksturo tikai kāda konkrēta piegādātāja preces, zīmolu, patentus vai specifisku preču veidus, pretendents var piedāvāt ekvivalentas preces, norādot to piedāvājumā un papildinot piedāvājumu ar dokumentāciju, kas pamato to, ka piedāvātās preces ir ekvivalentas </w:t>
            </w:r>
            <w:r w:rsidR="002C5BEA">
              <w:rPr>
                <w:sz w:val="22"/>
                <w:szCs w:val="22"/>
              </w:rPr>
              <w:t>iepirkuma procedūras dokumentos</w:t>
            </w:r>
            <w:r w:rsidRPr="002B0FB2">
              <w:rPr>
                <w:sz w:val="22"/>
                <w:szCs w:val="22"/>
              </w:rPr>
              <w:t xml:space="preserve"> norādītajām.</w:t>
            </w:r>
          </w:p>
          <w:p w14:paraId="2137B278" w14:textId="39EC9F2F" w:rsidR="002B0FB2" w:rsidRPr="002B0FB2" w:rsidRDefault="002B0FB2" w:rsidP="002B0FB2">
            <w:pPr>
              <w:pStyle w:val="NoSpacing"/>
              <w:jc w:val="both"/>
              <w:rPr>
                <w:rFonts w:eastAsia="Helvetica"/>
                <w:sz w:val="22"/>
                <w:szCs w:val="22"/>
              </w:rPr>
            </w:pPr>
          </w:p>
        </w:tc>
      </w:tr>
      <w:tr w:rsidR="002B0FB2" w:rsidRPr="002B0FB2" w14:paraId="51ABA7F8" w14:textId="77777777" w:rsidTr="007A1B9F">
        <w:tc>
          <w:tcPr>
            <w:tcW w:w="9209" w:type="dxa"/>
          </w:tcPr>
          <w:p w14:paraId="308AA368" w14:textId="130A1211" w:rsidR="002B0FB2" w:rsidRPr="002B0FB2" w:rsidRDefault="002B0FB2" w:rsidP="003001BD">
            <w:pPr>
              <w:pStyle w:val="NoSpacing"/>
              <w:numPr>
                <w:ilvl w:val="1"/>
                <w:numId w:val="47"/>
              </w:numPr>
              <w:jc w:val="both"/>
              <w:rPr>
                <w:b/>
                <w:sz w:val="22"/>
                <w:szCs w:val="22"/>
              </w:rPr>
            </w:pPr>
            <w:r w:rsidRPr="002B0FB2">
              <w:rPr>
                <w:b/>
                <w:sz w:val="22"/>
                <w:szCs w:val="22"/>
              </w:rPr>
              <w:t>Informācija par iepirkuma priekšmetu</w:t>
            </w:r>
          </w:p>
        </w:tc>
      </w:tr>
      <w:tr w:rsidR="002B0FB2" w:rsidRPr="00A80E7D" w14:paraId="2437D12A" w14:textId="77777777" w:rsidTr="007A1B9F">
        <w:tc>
          <w:tcPr>
            <w:tcW w:w="9209" w:type="dxa"/>
          </w:tcPr>
          <w:p w14:paraId="1656ECA3" w14:textId="02FFFC5C" w:rsidR="002B0FB2" w:rsidRDefault="002B0FB2" w:rsidP="002B0FB2">
            <w:pPr>
              <w:jc w:val="both"/>
              <w:rPr>
                <w:rFonts w:ascii="Times New Roman" w:hAnsi="Times New Roman" w:cs="Times New Roman"/>
              </w:rPr>
            </w:pPr>
            <w:r w:rsidRPr="009B3DCE">
              <w:rPr>
                <w:rFonts w:ascii="Times New Roman" w:hAnsi="Times New Roman" w:cs="Times New Roman"/>
              </w:rPr>
              <w:t xml:space="preserve">Informācija par iepirkuma priekšmetu ir norādīta tehniskajās specifikācijās, kas ir nolikuma </w:t>
            </w:r>
            <w:r w:rsidR="001D554E" w:rsidRPr="009B3DCE">
              <w:rPr>
                <w:rFonts w:ascii="Times New Roman" w:hAnsi="Times New Roman" w:cs="Times New Roman"/>
                <w:b/>
              </w:rPr>
              <w:t>2</w:t>
            </w:r>
            <w:r w:rsidRPr="009B3DCE">
              <w:rPr>
                <w:rFonts w:ascii="Times New Roman" w:hAnsi="Times New Roman" w:cs="Times New Roman"/>
                <w:b/>
              </w:rPr>
              <w:t>.</w:t>
            </w:r>
            <w:r w:rsidR="00BC234C" w:rsidRPr="009B3DCE">
              <w:rPr>
                <w:rFonts w:ascii="Times New Roman" w:hAnsi="Times New Roman" w:cs="Times New Roman"/>
                <w:b/>
              </w:rPr>
              <w:t> </w:t>
            </w:r>
            <w:r w:rsidR="00E0570C" w:rsidRPr="009B3DCE">
              <w:rPr>
                <w:rFonts w:ascii="Times New Roman" w:hAnsi="Times New Roman" w:cs="Times New Roman"/>
              </w:rPr>
              <w:t>pielikums</w:t>
            </w:r>
            <w:r w:rsidRPr="009B3DCE">
              <w:rPr>
                <w:rFonts w:ascii="Times New Roman" w:hAnsi="Times New Roman" w:cs="Times New Roman"/>
              </w:rPr>
              <w:t>.</w:t>
            </w:r>
          </w:p>
          <w:p w14:paraId="066678E0" w14:textId="77777777" w:rsidR="002B0FB2" w:rsidRDefault="002B0FB2" w:rsidP="002B0FB2">
            <w:pPr>
              <w:pStyle w:val="NoSpacing"/>
              <w:jc w:val="both"/>
              <w:rPr>
                <w:sz w:val="22"/>
                <w:szCs w:val="22"/>
              </w:rPr>
            </w:pPr>
          </w:p>
        </w:tc>
      </w:tr>
    </w:tbl>
    <w:p w14:paraId="46F0FD43" w14:textId="77777777" w:rsidR="004F2238" w:rsidRDefault="004F2238" w:rsidP="00817694">
      <w:pPr>
        <w:pStyle w:val="NoSpacing"/>
        <w:jc w:val="center"/>
        <w:rPr>
          <w:b/>
          <w:sz w:val="22"/>
          <w:szCs w:val="22"/>
        </w:rPr>
      </w:pPr>
    </w:p>
    <w:p w14:paraId="286E7817" w14:textId="60AE810C" w:rsidR="0080187E" w:rsidRPr="00817694" w:rsidRDefault="002B0FB2" w:rsidP="00817694">
      <w:pPr>
        <w:pStyle w:val="NoSpacing"/>
        <w:jc w:val="center"/>
        <w:rPr>
          <w:b/>
          <w:sz w:val="22"/>
          <w:szCs w:val="22"/>
        </w:rPr>
      </w:pPr>
      <w:r>
        <w:rPr>
          <w:b/>
          <w:sz w:val="22"/>
          <w:szCs w:val="22"/>
        </w:rPr>
        <w:t>I</w:t>
      </w:r>
      <w:r w:rsidR="0080187E" w:rsidRPr="00817694">
        <w:rPr>
          <w:b/>
          <w:sz w:val="22"/>
          <w:szCs w:val="22"/>
        </w:rPr>
        <w:t>I SADAĻA</w:t>
      </w:r>
    </w:p>
    <w:p w14:paraId="3101D1FE" w14:textId="77777777" w:rsidR="0080187E" w:rsidRPr="00817694" w:rsidRDefault="0080187E" w:rsidP="00817694">
      <w:pPr>
        <w:pStyle w:val="NoSpacing"/>
        <w:jc w:val="center"/>
        <w:rPr>
          <w:b/>
          <w:sz w:val="22"/>
          <w:szCs w:val="22"/>
        </w:rPr>
      </w:pPr>
      <w:r w:rsidRPr="00817694">
        <w:rPr>
          <w:b/>
          <w:sz w:val="22"/>
          <w:szCs w:val="22"/>
        </w:rPr>
        <w:t>PRASĪBAS PRETENDENTIEM UN IESNIEDZAMIE DOKUMENTI</w:t>
      </w:r>
    </w:p>
    <w:p w14:paraId="2DE1BA44" w14:textId="77777777" w:rsidR="00C33ACF" w:rsidRPr="00A80E7D" w:rsidRDefault="00C33ACF" w:rsidP="00C33ACF">
      <w:pPr>
        <w:pStyle w:val="BodyText"/>
        <w:tabs>
          <w:tab w:val="left" w:pos="567"/>
          <w:tab w:val="left" w:pos="851"/>
        </w:tabs>
        <w:rPr>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4D72CC" w14:paraId="5EC7791A" w14:textId="77777777" w:rsidTr="00623C37">
        <w:tc>
          <w:tcPr>
            <w:tcW w:w="4678" w:type="dxa"/>
            <w:shd w:val="clear" w:color="auto" w:fill="auto"/>
          </w:tcPr>
          <w:p w14:paraId="47B396FF" w14:textId="77777777" w:rsidR="0080187E" w:rsidRPr="004D72CC" w:rsidRDefault="0080187E" w:rsidP="00623C37">
            <w:pPr>
              <w:spacing w:after="0" w:line="240" w:lineRule="auto"/>
              <w:rPr>
                <w:rFonts w:ascii="Times New Roman" w:hAnsi="Times New Roman" w:cs="Times New Roman"/>
                <w:b/>
                <w:bCs/>
              </w:rPr>
            </w:pPr>
            <w:r w:rsidRPr="004D72CC">
              <w:rPr>
                <w:rFonts w:ascii="Times New Roman" w:hAnsi="Times New Roman" w:cs="Times New Roman"/>
                <w:b/>
                <w:bCs/>
              </w:rPr>
              <w:t>Prasība:</w:t>
            </w:r>
          </w:p>
        </w:tc>
        <w:tc>
          <w:tcPr>
            <w:tcW w:w="4536" w:type="dxa"/>
            <w:shd w:val="clear" w:color="auto" w:fill="auto"/>
          </w:tcPr>
          <w:p w14:paraId="4FB49BBD" w14:textId="59264EE7" w:rsidR="0080187E" w:rsidRPr="004D72CC" w:rsidRDefault="0080187E" w:rsidP="00623C37">
            <w:pPr>
              <w:spacing w:after="0" w:line="240" w:lineRule="auto"/>
              <w:rPr>
                <w:rFonts w:ascii="Times New Roman" w:hAnsi="Times New Roman" w:cs="Times New Roman"/>
                <w:b/>
                <w:bCs/>
              </w:rPr>
            </w:pPr>
            <w:r w:rsidRPr="004D72CC">
              <w:rPr>
                <w:rFonts w:ascii="Times New Roman" w:hAnsi="Times New Roman" w:cs="Times New Roman"/>
                <w:b/>
                <w:bCs/>
              </w:rPr>
              <w:t>Iesniedzamais dokuments</w:t>
            </w:r>
            <w:r w:rsidR="0086267E">
              <w:rPr>
                <w:rStyle w:val="FootnoteReference"/>
                <w:rFonts w:ascii="Times New Roman" w:hAnsi="Times New Roman" w:cs="Times New Roman"/>
                <w:b/>
                <w:bCs/>
              </w:rPr>
              <w:footnoteReference w:id="3"/>
            </w:r>
            <w:r w:rsidRPr="004D72CC">
              <w:rPr>
                <w:rFonts w:ascii="Times New Roman" w:hAnsi="Times New Roman" w:cs="Times New Roman"/>
                <w:b/>
                <w:bCs/>
              </w:rPr>
              <w:t>:</w:t>
            </w:r>
          </w:p>
        </w:tc>
      </w:tr>
      <w:tr w:rsidR="008731E9" w:rsidRPr="00030F1C" w14:paraId="20BFAC67" w14:textId="77777777" w:rsidTr="00382A1E">
        <w:tc>
          <w:tcPr>
            <w:tcW w:w="9214" w:type="dxa"/>
            <w:gridSpan w:val="2"/>
            <w:shd w:val="clear" w:color="auto" w:fill="F2F2F2" w:themeFill="background1" w:themeFillShade="F2"/>
          </w:tcPr>
          <w:p w14:paraId="785CF213" w14:textId="77777777" w:rsidR="008731E9" w:rsidRPr="00030F1C" w:rsidRDefault="008731E9" w:rsidP="00382A1E">
            <w:pPr>
              <w:spacing w:after="0" w:line="240" w:lineRule="auto"/>
              <w:jc w:val="center"/>
              <w:rPr>
                <w:rFonts w:ascii="Times New Roman" w:hAnsi="Times New Roman" w:cs="Times New Roman"/>
                <w:b/>
                <w:bCs/>
              </w:rPr>
            </w:pPr>
            <w:r w:rsidRPr="00030F1C">
              <w:rPr>
                <w:rFonts w:ascii="Times New Roman" w:hAnsi="Times New Roman" w:cs="Times New Roman"/>
                <w:b/>
                <w:bCs/>
              </w:rPr>
              <w:t>PIETEIKUMS DALĪBAI ATKLĀTĀ KONKURSĀ</w:t>
            </w:r>
          </w:p>
        </w:tc>
      </w:tr>
      <w:tr w:rsidR="0080187E" w:rsidRPr="004D72CC" w14:paraId="1FC5B664" w14:textId="77777777" w:rsidTr="00623C37">
        <w:tc>
          <w:tcPr>
            <w:tcW w:w="4678" w:type="dxa"/>
            <w:shd w:val="clear" w:color="auto" w:fill="auto"/>
          </w:tcPr>
          <w:p w14:paraId="257DB350" w14:textId="23CB2348" w:rsidR="0080187E" w:rsidRPr="009B3DCE" w:rsidRDefault="00DC1C16" w:rsidP="006B6AC9">
            <w:pPr>
              <w:pStyle w:val="NoSpacing"/>
              <w:jc w:val="both"/>
              <w:rPr>
                <w:rFonts w:eastAsia="Helvetica"/>
                <w:b/>
                <w:sz w:val="22"/>
                <w:szCs w:val="22"/>
              </w:rPr>
            </w:pPr>
            <w:r w:rsidRPr="009B3DCE">
              <w:rPr>
                <w:rFonts w:eastAsia="Helvetica"/>
                <w:b/>
                <w:sz w:val="22"/>
                <w:szCs w:val="22"/>
              </w:rPr>
              <w:t>2</w:t>
            </w:r>
            <w:r w:rsidR="0080187E" w:rsidRPr="009B3DCE">
              <w:rPr>
                <w:rFonts w:eastAsia="Helvetica"/>
                <w:b/>
                <w:sz w:val="22"/>
                <w:szCs w:val="22"/>
              </w:rPr>
              <w:t>.1</w:t>
            </w:r>
            <w:r w:rsidR="005772D9" w:rsidRPr="009B3DCE">
              <w:rPr>
                <w:rFonts w:eastAsia="Helvetica"/>
                <w:b/>
                <w:sz w:val="22"/>
                <w:szCs w:val="22"/>
              </w:rPr>
              <w:t>.</w:t>
            </w:r>
            <w:r w:rsidR="0080187E" w:rsidRPr="009B3DCE">
              <w:rPr>
                <w:rFonts w:eastAsia="Helvetica"/>
                <w:sz w:val="22"/>
                <w:szCs w:val="22"/>
              </w:rPr>
              <w:t xml:space="preserve"> </w:t>
            </w:r>
            <w:r w:rsidR="0080187E" w:rsidRPr="009B3DCE">
              <w:rPr>
                <w:rFonts w:eastAsia="Helvetica"/>
                <w:b/>
                <w:sz w:val="22"/>
                <w:szCs w:val="22"/>
              </w:rPr>
              <w:t>Pretendents</w:t>
            </w:r>
            <w:r w:rsidR="0080187E" w:rsidRPr="009B3DCE">
              <w:rPr>
                <w:rFonts w:eastAsia="Helvetica"/>
                <w:sz w:val="22"/>
                <w:szCs w:val="22"/>
              </w:rPr>
              <w:t> ir piegādātājs, kurš ir ies</w:t>
            </w:r>
            <w:r w:rsidR="006B6AC9" w:rsidRPr="009B3DCE">
              <w:rPr>
                <w:rFonts w:eastAsia="Helvetica"/>
                <w:sz w:val="22"/>
                <w:szCs w:val="22"/>
              </w:rPr>
              <w:t>niedzis piedāvājumu</w:t>
            </w:r>
            <w:r w:rsidR="0080187E" w:rsidRPr="009B3DCE">
              <w:rPr>
                <w:rFonts w:eastAsia="Helvetica"/>
                <w:sz w:val="22"/>
                <w:szCs w:val="22"/>
              </w:rPr>
              <w:t>.</w:t>
            </w:r>
            <w:r w:rsidR="005772D9" w:rsidRPr="009B3DCE">
              <w:rPr>
                <w:rFonts w:eastAsia="Helvetica"/>
                <w:b/>
                <w:sz w:val="22"/>
                <w:szCs w:val="22"/>
              </w:rPr>
              <w:t xml:space="preserve"> Piegādātājs</w:t>
            </w:r>
            <w:r w:rsidR="005772D9" w:rsidRPr="009B3DCE">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6254C7DF" w14:textId="397148CB" w:rsidR="00714249" w:rsidRPr="004D72CC" w:rsidRDefault="00714249" w:rsidP="00817694">
            <w:pPr>
              <w:pStyle w:val="NoSpacing"/>
              <w:jc w:val="both"/>
              <w:rPr>
                <w:sz w:val="22"/>
                <w:szCs w:val="22"/>
              </w:rPr>
            </w:pPr>
            <w:r w:rsidRPr="009B3DCE">
              <w:rPr>
                <w:sz w:val="22"/>
                <w:szCs w:val="22"/>
              </w:rPr>
              <w:t xml:space="preserve">Pieteikums dalībai </w:t>
            </w:r>
            <w:r w:rsidR="008A66B0" w:rsidRPr="009B3DCE">
              <w:rPr>
                <w:sz w:val="22"/>
                <w:szCs w:val="22"/>
              </w:rPr>
              <w:t xml:space="preserve">atklātā </w:t>
            </w:r>
            <w:r w:rsidR="003D6351" w:rsidRPr="009B3DCE">
              <w:rPr>
                <w:sz w:val="22"/>
                <w:szCs w:val="22"/>
              </w:rPr>
              <w:t>konkursā</w:t>
            </w:r>
            <w:r w:rsidRPr="009B3DCE">
              <w:rPr>
                <w:sz w:val="22"/>
                <w:szCs w:val="22"/>
              </w:rPr>
              <w:t xml:space="preserve"> (pēc formas –</w:t>
            </w:r>
            <w:r w:rsidR="00A4387E" w:rsidRPr="009B3DCE">
              <w:rPr>
                <w:sz w:val="22"/>
                <w:szCs w:val="22"/>
              </w:rPr>
              <w:t xml:space="preserve"> </w:t>
            </w:r>
            <w:r w:rsidRPr="009B3DCE">
              <w:rPr>
                <w:sz w:val="22"/>
                <w:szCs w:val="22"/>
              </w:rPr>
              <w:t>nolikuma 1.pielikums).</w:t>
            </w:r>
          </w:p>
          <w:p w14:paraId="69849E9C" w14:textId="06212BB3" w:rsidR="005D32E0" w:rsidRPr="004D72CC" w:rsidRDefault="005D32E0" w:rsidP="005D3470">
            <w:pPr>
              <w:pStyle w:val="NoSpacing"/>
              <w:jc w:val="both"/>
              <w:rPr>
                <w:sz w:val="22"/>
                <w:szCs w:val="22"/>
              </w:rPr>
            </w:pPr>
          </w:p>
        </w:tc>
      </w:tr>
      <w:tr w:rsidR="008731E9" w:rsidRPr="00030F1C" w14:paraId="5345CBDB" w14:textId="77777777" w:rsidTr="00382A1E">
        <w:tc>
          <w:tcPr>
            <w:tcW w:w="9214" w:type="dxa"/>
            <w:gridSpan w:val="2"/>
            <w:shd w:val="clear" w:color="auto" w:fill="F2F2F2" w:themeFill="background1" w:themeFillShade="F2"/>
          </w:tcPr>
          <w:p w14:paraId="2E1769E2" w14:textId="77777777" w:rsidR="008731E9" w:rsidRPr="00030F1C" w:rsidRDefault="008731E9" w:rsidP="00382A1E">
            <w:pPr>
              <w:pStyle w:val="NoSpacing"/>
              <w:jc w:val="center"/>
              <w:rPr>
                <w:b/>
                <w:sz w:val="22"/>
                <w:szCs w:val="22"/>
              </w:rPr>
            </w:pPr>
            <w:r w:rsidRPr="00030F1C">
              <w:rPr>
                <w:b/>
                <w:sz w:val="22"/>
                <w:szCs w:val="22"/>
              </w:rPr>
              <w:t>PRETENDENTA ATLASES DOKUMENTI</w:t>
            </w:r>
          </w:p>
        </w:tc>
      </w:tr>
      <w:tr w:rsidR="005D32E0" w:rsidRPr="004D72CC" w14:paraId="674F1138" w14:textId="77777777" w:rsidTr="00623C37">
        <w:tc>
          <w:tcPr>
            <w:tcW w:w="4678" w:type="dxa"/>
            <w:shd w:val="clear" w:color="auto" w:fill="auto"/>
          </w:tcPr>
          <w:p w14:paraId="109DCF6F" w14:textId="2365306D" w:rsidR="005D32E0" w:rsidRPr="003615AE" w:rsidRDefault="00DC1C16" w:rsidP="005D32E0">
            <w:pPr>
              <w:pStyle w:val="NoSpacing"/>
              <w:jc w:val="both"/>
              <w:rPr>
                <w:sz w:val="22"/>
                <w:szCs w:val="22"/>
              </w:rPr>
            </w:pPr>
            <w:r>
              <w:rPr>
                <w:b/>
                <w:sz w:val="22"/>
                <w:szCs w:val="22"/>
              </w:rPr>
              <w:t>2</w:t>
            </w:r>
            <w:r w:rsidR="005D32E0" w:rsidRPr="003615AE">
              <w:rPr>
                <w:b/>
                <w:sz w:val="22"/>
                <w:szCs w:val="22"/>
              </w:rPr>
              <w:t xml:space="preserve">.2. </w:t>
            </w:r>
            <w:r w:rsidR="005D32E0" w:rsidRPr="003615AE">
              <w:rPr>
                <w:sz w:val="22"/>
                <w:szCs w:val="22"/>
              </w:rPr>
              <w:t>Piegādātājs var balstīties uz citu personu saimnieciskajām un finansiālajām iespējām, ja tas ir nepieciešams konkrētā līguma izpildei, neatkarīgi no savstarpējo attiecību tiesiskā rakstura.</w:t>
            </w:r>
          </w:p>
          <w:p w14:paraId="551F34C4" w14:textId="112B9F35" w:rsidR="005D32E0" w:rsidRPr="004D72CC" w:rsidRDefault="005D32E0" w:rsidP="005D32E0">
            <w:pPr>
              <w:pStyle w:val="NoSpacing"/>
              <w:jc w:val="both"/>
              <w:rPr>
                <w:rFonts w:eastAsia="Helvetica"/>
                <w:b/>
                <w:sz w:val="22"/>
                <w:szCs w:val="22"/>
              </w:rPr>
            </w:pPr>
            <w:r w:rsidRPr="003615AE">
              <w:rPr>
                <w:sz w:val="22"/>
                <w:szCs w:val="22"/>
                <w:u w:val="single"/>
              </w:rPr>
              <w:t>Šajā gadījumā piegādātājs un persona, uz kuras saimnieciskajām un finansiālajām iespējām tas balstās, ir solidāri atbildīgi par iepirkuma līguma izpildi.</w:t>
            </w:r>
            <w:r w:rsidRPr="003615AE">
              <w:rPr>
                <w:sz w:val="22"/>
                <w:szCs w:val="22"/>
              </w:rPr>
              <w:t xml:space="preserve"> </w:t>
            </w:r>
          </w:p>
        </w:tc>
        <w:tc>
          <w:tcPr>
            <w:tcW w:w="4536" w:type="dxa"/>
            <w:shd w:val="clear" w:color="auto" w:fill="auto"/>
            <w:vAlign w:val="center"/>
          </w:tcPr>
          <w:p w14:paraId="518776FA" w14:textId="77777777" w:rsidR="005D32E0" w:rsidRPr="003615AE" w:rsidRDefault="005D32E0" w:rsidP="005D32E0">
            <w:pPr>
              <w:pStyle w:val="NoSpacing"/>
              <w:numPr>
                <w:ilvl w:val="0"/>
                <w:numId w:val="3"/>
              </w:numPr>
              <w:tabs>
                <w:tab w:val="left" w:pos="430"/>
              </w:tabs>
              <w:suppressAutoHyphens w:val="0"/>
              <w:ind w:left="0" w:firstLine="34"/>
              <w:jc w:val="both"/>
              <w:rPr>
                <w:sz w:val="22"/>
                <w:szCs w:val="22"/>
              </w:rPr>
            </w:pPr>
            <w:r w:rsidRPr="003615AE">
              <w:rPr>
                <w:sz w:val="22"/>
                <w:szCs w:val="22"/>
              </w:rPr>
              <w:t>Pretendents pierāda pasūtītājam, ka viņa rīcībā būs nepieciešamie resursi, iesniedzot, piemēram, šo personu apliecinājumu vai vienošanos par sadarbību konkrētā līguma izpildē.</w:t>
            </w:r>
          </w:p>
          <w:p w14:paraId="29381374" w14:textId="0FBA10A4" w:rsidR="005D32E0" w:rsidRPr="004D72CC" w:rsidRDefault="005D32E0" w:rsidP="00890502">
            <w:pPr>
              <w:pStyle w:val="NoSpacing"/>
              <w:numPr>
                <w:ilvl w:val="0"/>
                <w:numId w:val="3"/>
              </w:numPr>
              <w:tabs>
                <w:tab w:val="left" w:pos="317"/>
              </w:tabs>
              <w:ind w:left="34" w:firstLine="0"/>
              <w:jc w:val="both"/>
              <w:rPr>
                <w:sz w:val="22"/>
                <w:szCs w:val="22"/>
              </w:rPr>
            </w:pPr>
            <w:r w:rsidRPr="0030081C">
              <w:rPr>
                <w:sz w:val="22"/>
                <w:szCs w:val="22"/>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D32E0" w:rsidRPr="004D72CC" w14:paraId="5D96779D" w14:textId="77777777" w:rsidTr="00623C37">
        <w:tc>
          <w:tcPr>
            <w:tcW w:w="4678" w:type="dxa"/>
            <w:shd w:val="clear" w:color="auto" w:fill="auto"/>
          </w:tcPr>
          <w:p w14:paraId="0790A259" w14:textId="14E2A7E9" w:rsidR="005D32E0" w:rsidRPr="004D72CC" w:rsidRDefault="00DC1C16" w:rsidP="005D32E0">
            <w:pPr>
              <w:pStyle w:val="NoSpacing"/>
              <w:jc w:val="both"/>
              <w:rPr>
                <w:sz w:val="22"/>
                <w:szCs w:val="22"/>
              </w:rPr>
            </w:pPr>
            <w:r>
              <w:rPr>
                <w:b/>
                <w:sz w:val="22"/>
                <w:szCs w:val="22"/>
              </w:rPr>
              <w:t>2</w:t>
            </w:r>
            <w:r w:rsidR="005D32E0">
              <w:rPr>
                <w:b/>
                <w:sz w:val="22"/>
                <w:szCs w:val="22"/>
              </w:rPr>
              <w:t>.3</w:t>
            </w:r>
            <w:r w:rsidR="005D32E0" w:rsidRPr="004D72CC">
              <w:rPr>
                <w:b/>
                <w:sz w:val="22"/>
                <w:szCs w:val="22"/>
              </w:rPr>
              <w:t xml:space="preserve">. </w:t>
            </w:r>
            <w:r w:rsidR="005D32E0" w:rsidRPr="004D72CC">
              <w:rPr>
                <w:sz w:val="22"/>
                <w:szCs w:val="22"/>
              </w:rPr>
              <w:t xml:space="preserve">Piegādātājs var balstīties uz citu personu tehniskajām un profesionālajām iespējām, ja tas ir nepieciešams konkrētā iepirkuma līguma izpildei, neatkarīgi no savstarpējo attiecību tiesiskā rakstura. </w:t>
            </w:r>
          </w:p>
          <w:p w14:paraId="52B0DA11" w14:textId="1F0947C7" w:rsidR="005D32E0" w:rsidRPr="004D72CC" w:rsidRDefault="005D32E0" w:rsidP="00B92E3C">
            <w:pPr>
              <w:pStyle w:val="NoSpacing"/>
              <w:jc w:val="both"/>
              <w:rPr>
                <w:rFonts w:eastAsia="Helvetica"/>
                <w:b/>
                <w:sz w:val="22"/>
                <w:szCs w:val="22"/>
              </w:rPr>
            </w:pPr>
            <w:r w:rsidRPr="004D72CC">
              <w:rPr>
                <w:sz w:val="22"/>
                <w:szCs w:val="22"/>
                <w:u w:val="single"/>
              </w:rPr>
              <w:lastRenderedPageBreak/>
              <w:t>Piegādātājs, lai apliecinātu profesionālo pieredzi, var balstīties uz citu personu iespējām tikai tad, ja šīs personas i sniegs pakalpojumus, kuru izpildei attiecīgās spējas ir nepieciešamas.</w:t>
            </w:r>
          </w:p>
        </w:tc>
        <w:tc>
          <w:tcPr>
            <w:tcW w:w="4536" w:type="dxa"/>
            <w:shd w:val="clear" w:color="auto" w:fill="auto"/>
            <w:vAlign w:val="center"/>
          </w:tcPr>
          <w:p w14:paraId="65AA9EAE" w14:textId="4CA81D0D" w:rsidR="005D32E0" w:rsidRPr="004D72CC" w:rsidRDefault="005D32E0" w:rsidP="005D32E0">
            <w:pPr>
              <w:pStyle w:val="NoSpacing"/>
              <w:jc w:val="both"/>
              <w:rPr>
                <w:sz w:val="22"/>
                <w:szCs w:val="22"/>
              </w:rPr>
            </w:pPr>
            <w:r w:rsidRPr="004D72CC">
              <w:rPr>
                <w:sz w:val="22"/>
                <w:szCs w:val="22"/>
              </w:rPr>
              <w:lastRenderedPageBreak/>
              <w:t xml:space="preserve">Pretendents pierāda </w:t>
            </w:r>
            <w:r w:rsidR="00E0570C" w:rsidRPr="00E0570C">
              <w:rPr>
                <w:sz w:val="22"/>
                <w:szCs w:val="22"/>
              </w:rPr>
              <w:t>pasūtītājam</w:t>
            </w:r>
            <w:r w:rsidRPr="004D72CC">
              <w:rPr>
                <w:sz w:val="22"/>
                <w:szCs w:val="22"/>
              </w:rPr>
              <w:t>, ka tā rīcībā būs nepieciešamie resursi, iesniedzot šo personu apliecinājumu vai vienošanos par nepieciešamo resursu nodošanu piegādātāja rīcībā.</w:t>
            </w:r>
          </w:p>
        </w:tc>
      </w:tr>
      <w:tr w:rsidR="005D32E0" w:rsidRPr="004D72CC" w14:paraId="742EE5E0" w14:textId="77777777" w:rsidTr="00623C37">
        <w:tc>
          <w:tcPr>
            <w:tcW w:w="4678" w:type="dxa"/>
            <w:shd w:val="clear" w:color="auto" w:fill="auto"/>
          </w:tcPr>
          <w:p w14:paraId="7077AC48" w14:textId="62FAA5F2" w:rsidR="005D32E0" w:rsidRPr="004D72CC" w:rsidRDefault="00DC1C16" w:rsidP="005D32E0">
            <w:pPr>
              <w:pStyle w:val="NoSpacing"/>
              <w:jc w:val="both"/>
              <w:rPr>
                <w:b/>
                <w:sz w:val="22"/>
                <w:szCs w:val="22"/>
              </w:rPr>
            </w:pPr>
            <w:r>
              <w:rPr>
                <w:b/>
                <w:sz w:val="22"/>
                <w:szCs w:val="22"/>
              </w:rPr>
              <w:t>2</w:t>
            </w:r>
            <w:r w:rsidR="005D32E0" w:rsidRPr="004D72CC">
              <w:rPr>
                <w:b/>
                <w:sz w:val="22"/>
                <w:szCs w:val="22"/>
              </w:rPr>
              <w:t>.</w:t>
            </w:r>
            <w:r w:rsidR="005D32E0">
              <w:rPr>
                <w:b/>
                <w:sz w:val="22"/>
                <w:szCs w:val="22"/>
              </w:rPr>
              <w:t>4.</w:t>
            </w:r>
            <w:r w:rsidR="005D32E0" w:rsidRPr="004D72CC">
              <w:rPr>
                <w:b/>
                <w:sz w:val="22"/>
                <w:szCs w:val="22"/>
              </w:rPr>
              <w:t xml:space="preserve"> </w:t>
            </w:r>
            <w:r w:rsidR="005D32E0" w:rsidRPr="004D72CC">
              <w:rPr>
                <w:sz w:val="22"/>
                <w:szCs w:val="22"/>
              </w:rPr>
              <w:t>Ja piedāvājumu iesniedz piegādātāju apvienība, piedāvājuma dokumentus paraksta atbilstoši piegādātāju savstarpējās vienošanās nosacījumiem.</w:t>
            </w:r>
            <w:r w:rsidR="005D32E0" w:rsidRPr="004D72CC">
              <w:rPr>
                <w:b/>
                <w:sz w:val="22"/>
                <w:szCs w:val="22"/>
              </w:rPr>
              <w:t xml:space="preserve"> </w:t>
            </w:r>
          </w:p>
        </w:tc>
        <w:tc>
          <w:tcPr>
            <w:tcW w:w="4536" w:type="dxa"/>
            <w:vMerge w:val="restart"/>
            <w:shd w:val="clear" w:color="auto" w:fill="auto"/>
            <w:vAlign w:val="center"/>
          </w:tcPr>
          <w:p w14:paraId="3A1935BA" w14:textId="1396B6F3" w:rsidR="005D32E0" w:rsidRPr="004D72CC" w:rsidRDefault="005D32E0" w:rsidP="005D32E0">
            <w:pPr>
              <w:pStyle w:val="NoSpacing"/>
              <w:jc w:val="both"/>
              <w:rPr>
                <w:sz w:val="22"/>
                <w:szCs w:val="22"/>
              </w:rPr>
            </w:pPr>
            <w:r w:rsidRPr="00732AE0">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D32E0" w:rsidRPr="004D72CC" w14:paraId="17975019" w14:textId="77777777" w:rsidTr="00623C37">
        <w:tc>
          <w:tcPr>
            <w:tcW w:w="4678" w:type="dxa"/>
            <w:shd w:val="clear" w:color="auto" w:fill="auto"/>
          </w:tcPr>
          <w:p w14:paraId="4635C340" w14:textId="051EA080" w:rsidR="005D32E0" w:rsidRPr="004D72CC" w:rsidRDefault="00DC1C16" w:rsidP="005D32E0">
            <w:pPr>
              <w:pStyle w:val="NoSpacing"/>
              <w:jc w:val="both"/>
              <w:rPr>
                <w:rFonts w:eastAsia="Helvetica"/>
                <w:sz w:val="22"/>
                <w:szCs w:val="22"/>
              </w:rPr>
            </w:pPr>
            <w:r w:rsidRPr="009B3DCE">
              <w:rPr>
                <w:b/>
                <w:sz w:val="22"/>
                <w:szCs w:val="22"/>
              </w:rPr>
              <w:t>2</w:t>
            </w:r>
            <w:r w:rsidR="005D32E0" w:rsidRPr="009B3DCE">
              <w:rPr>
                <w:b/>
                <w:sz w:val="22"/>
                <w:szCs w:val="22"/>
              </w:rPr>
              <w:t>.5.</w:t>
            </w:r>
            <w:r w:rsidR="005D32E0" w:rsidRPr="009B3DCE">
              <w:rPr>
                <w:sz w:val="22"/>
                <w:szCs w:val="22"/>
              </w:rPr>
              <w:t xml:space="preserve"> Pretendentam jāiesniedz atlases dokumenti par katru apvienības dalībnieku. Uz katru apvienība</w:t>
            </w:r>
            <w:r w:rsidRPr="009B3DCE">
              <w:rPr>
                <w:sz w:val="22"/>
                <w:szCs w:val="22"/>
              </w:rPr>
              <w:t>s dalībnieku attiecas nolikuma 2</w:t>
            </w:r>
            <w:r w:rsidR="005D32E0" w:rsidRPr="009B3DCE">
              <w:rPr>
                <w:sz w:val="22"/>
                <w:szCs w:val="22"/>
              </w:rPr>
              <w:t>.6</w:t>
            </w:r>
            <w:r w:rsidRPr="009B3DCE">
              <w:rPr>
                <w:sz w:val="22"/>
                <w:szCs w:val="22"/>
              </w:rPr>
              <w:t>.</w:t>
            </w:r>
            <w:r w:rsidR="00BC234C" w:rsidRPr="009B3DCE">
              <w:rPr>
                <w:sz w:val="22"/>
                <w:szCs w:val="22"/>
              </w:rPr>
              <w:t> </w:t>
            </w:r>
            <w:r w:rsidRPr="009B3DCE">
              <w:rPr>
                <w:sz w:val="22"/>
                <w:szCs w:val="22"/>
              </w:rPr>
              <w:t>punkts un 2</w:t>
            </w:r>
            <w:r w:rsidR="005D32E0" w:rsidRPr="009B3DCE">
              <w:rPr>
                <w:sz w:val="22"/>
                <w:szCs w:val="22"/>
              </w:rPr>
              <w:t>.7.</w:t>
            </w:r>
            <w:r w:rsidR="00BC234C" w:rsidRPr="009B3DCE">
              <w:rPr>
                <w:sz w:val="22"/>
                <w:szCs w:val="22"/>
              </w:rPr>
              <w:t> </w:t>
            </w:r>
            <w:r w:rsidR="005D32E0" w:rsidRPr="009B3DCE">
              <w:rPr>
                <w:sz w:val="22"/>
                <w:szCs w:val="22"/>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7905847" w14:textId="77777777" w:rsidR="005D32E0" w:rsidRPr="004D72CC" w:rsidRDefault="005D32E0" w:rsidP="005D32E0">
            <w:pPr>
              <w:pStyle w:val="NoSpacing"/>
              <w:rPr>
                <w:sz w:val="22"/>
                <w:szCs w:val="22"/>
              </w:rPr>
            </w:pPr>
          </w:p>
        </w:tc>
      </w:tr>
      <w:tr w:rsidR="005D32E0" w:rsidRPr="004D72CC" w14:paraId="3836222E" w14:textId="77777777" w:rsidTr="00623C37">
        <w:tc>
          <w:tcPr>
            <w:tcW w:w="4678" w:type="dxa"/>
            <w:shd w:val="clear" w:color="auto" w:fill="auto"/>
          </w:tcPr>
          <w:p w14:paraId="22E87A51" w14:textId="314739A2" w:rsidR="005D32E0" w:rsidRPr="004D72CC" w:rsidRDefault="00DC1C16" w:rsidP="005D32E0">
            <w:pPr>
              <w:pStyle w:val="NoSpacing"/>
              <w:jc w:val="both"/>
              <w:rPr>
                <w:b/>
                <w:sz w:val="22"/>
                <w:szCs w:val="22"/>
              </w:rPr>
            </w:pPr>
            <w:r>
              <w:rPr>
                <w:rFonts w:eastAsia="TimesNewRomanPSMT"/>
                <w:b/>
                <w:sz w:val="22"/>
                <w:szCs w:val="22"/>
              </w:rPr>
              <w:t>2</w:t>
            </w:r>
            <w:r w:rsidR="005D32E0">
              <w:rPr>
                <w:rFonts w:eastAsia="TimesNewRomanPSMT"/>
                <w:b/>
                <w:sz w:val="22"/>
                <w:szCs w:val="22"/>
              </w:rPr>
              <w:t>.6.</w:t>
            </w:r>
            <w:r w:rsidR="005D32E0" w:rsidRPr="004D72CC">
              <w:rPr>
                <w:rFonts w:eastAsia="TimesNewRomanPSMT"/>
                <w:sz w:val="22"/>
                <w:szCs w:val="22"/>
              </w:rPr>
              <w:t xml:space="preserve"> Pretendentu izslēdz no dalības iepirkuma procedūrā jebkurā no Publisko iepirkumu likuma 42.panta pirmajā daļā noteiktajiem gadījumiem.</w:t>
            </w:r>
          </w:p>
        </w:tc>
        <w:tc>
          <w:tcPr>
            <w:tcW w:w="4536" w:type="dxa"/>
            <w:shd w:val="clear" w:color="auto" w:fill="auto"/>
            <w:vAlign w:val="center"/>
          </w:tcPr>
          <w:p w14:paraId="4BA947D9" w14:textId="77777777" w:rsidR="005D32E0" w:rsidRPr="004D72CC" w:rsidRDefault="005D32E0" w:rsidP="005D32E0">
            <w:pPr>
              <w:pStyle w:val="NoSpacing"/>
              <w:jc w:val="both"/>
              <w:rPr>
                <w:sz w:val="22"/>
                <w:szCs w:val="22"/>
              </w:rPr>
            </w:pPr>
            <w:r w:rsidRPr="004D72CC">
              <w:rPr>
                <w:sz w:val="22"/>
                <w:szCs w:val="22"/>
              </w:rPr>
              <w:t>Komisija pretendentu izslēgšanas gadījumus pārbauda Publisko iepirkumu likuma 42.pantā noteiktajā kārtībā.</w:t>
            </w:r>
          </w:p>
        </w:tc>
      </w:tr>
      <w:tr w:rsidR="005D32E0" w:rsidRPr="004D72CC" w14:paraId="6510B698" w14:textId="77777777" w:rsidTr="00623C37">
        <w:tc>
          <w:tcPr>
            <w:tcW w:w="4678" w:type="dxa"/>
            <w:shd w:val="clear" w:color="auto" w:fill="auto"/>
          </w:tcPr>
          <w:p w14:paraId="0FCA0A18" w14:textId="46A141C4" w:rsidR="005D32E0" w:rsidRPr="004D72CC" w:rsidRDefault="00DC1C16" w:rsidP="005D32E0">
            <w:pPr>
              <w:pStyle w:val="NoSpacing"/>
              <w:jc w:val="both"/>
              <w:rPr>
                <w:sz w:val="22"/>
                <w:szCs w:val="22"/>
              </w:rPr>
            </w:pPr>
            <w:r>
              <w:rPr>
                <w:b/>
                <w:sz w:val="22"/>
                <w:szCs w:val="22"/>
              </w:rPr>
              <w:t>2</w:t>
            </w:r>
            <w:r w:rsidR="005D32E0" w:rsidRPr="004D72CC">
              <w:rPr>
                <w:b/>
                <w:sz w:val="22"/>
                <w:szCs w:val="22"/>
              </w:rPr>
              <w:t>.</w:t>
            </w:r>
            <w:r w:rsidR="005D32E0">
              <w:rPr>
                <w:b/>
                <w:sz w:val="22"/>
                <w:szCs w:val="22"/>
              </w:rPr>
              <w:t>7</w:t>
            </w:r>
            <w:r w:rsidR="005D32E0" w:rsidRPr="004D72CC">
              <w:rPr>
                <w:b/>
                <w:sz w:val="22"/>
                <w:szCs w:val="22"/>
              </w:rPr>
              <w:t>.</w:t>
            </w:r>
            <w:r w:rsidR="005D32E0" w:rsidRPr="004D72CC">
              <w:rPr>
                <w:sz w:val="22"/>
                <w:szCs w:val="22"/>
              </w:rPr>
              <w:t xml:space="preserve"> Pretendents ir reģistrēts, licencēts un/vai sertificēts atbilstoši attiecīgās valsts normatīvo aktu prasībām, tiesīgs veikt Pasūtītājam </w:t>
            </w:r>
            <w:r w:rsidR="005D32E0">
              <w:rPr>
                <w:sz w:val="22"/>
                <w:szCs w:val="22"/>
              </w:rPr>
              <w:t>nepieciešamās piegādes.</w:t>
            </w:r>
          </w:p>
        </w:tc>
        <w:tc>
          <w:tcPr>
            <w:tcW w:w="4536" w:type="dxa"/>
            <w:shd w:val="clear" w:color="auto" w:fill="auto"/>
          </w:tcPr>
          <w:p w14:paraId="54F1E3DA" w14:textId="7FE31649" w:rsidR="005D32E0" w:rsidRPr="006E7390" w:rsidRDefault="005D32E0" w:rsidP="005D32E0">
            <w:pPr>
              <w:pStyle w:val="NoSpacing"/>
              <w:jc w:val="both"/>
              <w:rPr>
                <w:sz w:val="22"/>
                <w:szCs w:val="22"/>
              </w:rPr>
            </w:pPr>
            <w:r w:rsidRPr="006E7390">
              <w:rPr>
                <w:b/>
                <w:sz w:val="22"/>
                <w:szCs w:val="22"/>
              </w:rPr>
              <w:t>a)</w:t>
            </w:r>
            <w:r w:rsidRPr="006E7390">
              <w:rPr>
                <w:sz w:val="22"/>
                <w:szCs w:val="22"/>
              </w:rPr>
              <w:t xml:space="preserve"> Komisija pārliecinās par pretendenta reģistrācijas faktu</w:t>
            </w:r>
            <w:r w:rsidR="00B92E3C">
              <w:rPr>
                <w:sz w:val="22"/>
                <w:szCs w:val="22"/>
              </w:rPr>
              <w:t xml:space="preserve"> publiskās datu bāzēs</w:t>
            </w:r>
            <w:r w:rsidRPr="006E7390">
              <w:rPr>
                <w:sz w:val="22"/>
                <w:szCs w:val="22"/>
              </w:rPr>
              <w:t xml:space="preserve">. </w:t>
            </w:r>
          </w:p>
          <w:p w14:paraId="63FC6738" w14:textId="1E2D2549" w:rsidR="005D32E0" w:rsidRPr="00620323" w:rsidRDefault="005D32E0" w:rsidP="005D32E0">
            <w:pPr>
              <w:pStyle w:val="NoSpacing"/>
              <w:jc w:val="both"/>
              <w:rPr>
                <w:sz w:val="22"/>
                <w:szCs w:val="22"/>
              </w:rPr>
            </w:pPr>
            <w:r w:rsidRPr="006E7390">
              <w:rPr>
                <w:b/>
                <w:sz w:val="22"/>
                <w:szCs w:val="22"/>
              </w:rPr>
              <w:t>b)</w:t>
            </w:r>
            <w:r w:rsidRPr="006E7390">
              <w:rPr>
                <w:sz w:val="22"/>
                <w:szCs w:val="22"/>
              </w:rPr>
              <w:t xml:space="preserve"> Ārvalstī reģistrētam pretendentam, kas nav reģistrēts Uzņēmumu reģistrā, jāpievieno attiecīgos faktus apliecinoši dokumenti (kopijas).</w:t>
            </w:r>
          </w:p>
        </w:tc>
      </w:tr>
      <w:tr w:rsidR="005D32E0" w:rsidRPr="004D72CC" w14:paraId="29A4B70D" w14:textId="77777777" w:rsidTr="008731E9">
        <w:tc>
          <w:tcPr>
            <w:tcW w:w="4678" w:type="dxa"/>
            <w:tcBorders>
              <w:bottom w:val="single" w:sz="4" w:space="0" w:color="auto"/>
            </w:tcBorders>
            <w:shd w:val="clear" w:color="auto" w:fill="auto"/>
          </w:tcPr>
          <w:p w14:paraId="51B25FC2" w14:textId="40236245" w:rsidR="005D32E0" w:rsidRPr="009A171A" w:rsidRDefault="00DC1C16" w:rsidP="005D32E0">
            <w:pPr>
              <w:pStyle w:val="NoSpacing"/>
              <w:jc w:val="both"/>
              <w:rPr>
                <w:color w:val="000000"/>
                <w:sz w:val="22"/>
                <w:szCs w:val="22"/>
              </w:rPr>
            </w:pPr>
            <w:r>
              <w:rPr>
                <w:b/>
                <w:sz w:val="22"/>
                <w:szCs w:val="22"/>
              </w:rPr>
              <w:t>2</w:t>
            </w:r>
            <w:r w:rsidR="005D32E0">
              <w:rPr>
                <w:b/>
                <w:sz w:val="22"/>
                <w:szCs w:val="22"/>
              </w:rPr>
              <w:t>.8</w:t>
            </w:r>
            <w:r w:rsidR="005D32E0" w:rsidRPr="009643F7">
              <w:rPr>
                <w:b/>
                <w:sz w:val="22"/>
                <w:szCs w:val="22"/>
              </w:rPr>
              <w:t xml:space="preserve">. </w:t>
            </w:r>
            <w:r w:rsidR="005D32E0" w:rsidRPr="009A171A">
              <w:rPr>
                <w:sz w:val="22"/>
                <w:szCs w:val="22"/>
              </w:rPr>
              <w:t>Pretendenta rīcībā ir visi nepieciešamie resursi savlaicīgai un kvalitatīvai līguma izpildei, tajā skaitā garantijas servisa nodrošināšanai:</w:t>
            </w:r>
          </w:p>
          <w:p w14:paraId="43108100" w14:textId="39F94628" w:rsidR="005D32E0" w:rsidRPr="009A171A" w:rsidRDefault="00DC1C16" w:rsidP="005D32E0">
            <w:pPr>
              <w:pStyle w:val="NoSpacing"/>
              <w:jc w:val="both"/>
              <w:rPr>
                <w:color w:val="000000"/>
                <w:sz w:val="22"/>
                <w:szCs w:val="22"/>
              </w:rPr>
            </w:pPr>
            <w:r>
              <w:rPr>
                <w:color w:val="000000"/>
                <w:sz w:val="22"/>
                <w:szCs w:val="22"/>
              </w:rPr>
              <w:t>2</w:t>
            </w:r>
            <w:r w:rsidR="005D32E0">
              <w:rPr>
                <w:color w:val="000000"/>
                <w:sz w:val="22"/>
                <w:szCs w:val="22"/>
              </w:rPr>
              <w:t>.8</w:t>
            </w:r>
            <w:r w:rsidR="005D32E0" w:rsidRPr="009A171A">
              <w:rPr>
                <w:color w:val="000000"/>
                <w:sz w:val="22"/>
                <w:szCs w:val="22"/>
              </w:rPr>
              <w:t xml:space="preserve">.1. </w:t>
            </w:r>
            <w:r w:rsidR="005D32E0" w:rsidRPr="009A171A">
              <w:rPr>
                <w:sz w:val="22"/>
                <w:szCs w:val="22"/>
              </w:rPr>
              <w:t xml:space="preserve">Pretendents ir ražotājs vai tam ir iepirkuma līguma izpildei nepieciešamās tiesības pārdot </w:t>
            </w:r>
            <w:r w:rsidR="001B105F">
              <w:rPr>
                <w:sz w:val="22"/>
                <w:szCs w:val="22"/>
              </w:rPr>
              <w:t xml:space="preserve">konkrētā </w:t>
            </w:r>
            <w:r w:rsidR="005D32E0" w:rsidRPr="009A171A">
              <w:rPr>
                <w:sz w:val="22"/>
                <w:szCs w:val="22"/>
              </w:rPr>
              <w:t>ražotāja produkciju un uzņemties garantijas saistības;</w:t>
            </w:r>
          </w:p>
          <w:p w14:paraId="7328B45B" w14:textId="17F55562" w:rsidR="005D32E0" w:rsidRPr="009643F7" w:rsidRDefault="005D32E0" w:rsidP="001B105F">
            <w:pPr>
              <w:pStyle w:val="BodyText"/>
              <w:jc w:val="both"/>
              <w:rPr>
                <w:sz w:val="22"/>
                <w:szCs w:val="22"/>
              </w:rPr>
            </w:pPr>
          </w:p>
        </w:tc>
        <w:tc>
          <w:tcPr>
            <w:tcW w:w="4536" w:type="dxa"/>
            <w:tcBorders>
              <w:bottom w:val="single" w:sz="4" w:space="0" w:color="auto"/>
            </w:tcBorders>
            <w:shd w:val="clear" w:color="auto" w:fill="auto"/>
          </w:tcPr>
          <w:p w14:paraId="4A83DF8D" w14:textId="0EC2C54E" w:rsidR="005D32E0" w:rsidRPr="009A171A" w:rsidRDefault="005D32E0" w:rsidP="005D32E0">
            <w:pPr>
              <w:pStyle w:val="NoSpacing"/>
              <w:jc w:val="both"/>
              <w:rPr>
                <w:sz w:val="22"/>
                <w:szCs w:val="22"/>
              </w:rPr>
            </w:pPr>
            <w:r w:rsidRPr="009A171A">
              <w:rPr>
                <w:b/>
                <w:sz w:val="22"/>
                <w:szCs w:val="22"/>
              </w:rPr>
              <w:t>a)</w:t>
            </w:r>
            <w:r>
              <w:rPr>
                <w:sz w:val="22"/>
                <w:szCs w:val="22"/>
              </w:rPr>
              <w:t xml:space="preserve"> </w:t>
            </w:r>
            <w:r w:rsidRPr="009A171A">
              <w:rPr>
                <w:sz w:val="22"/>
                <w:szCs w:val="22"/>
              </w:rPr>
              <w:t>Dokuments, kas apliecina Pretendenta tiesības pārdot</w:t>
            </w:r>
            <w:r w:rsidR="001B105F">
              <w:rPr>
                <w:sz w:val="22"/>
                <w:szCs w:val="22"/>
              </w:rPr>
              <w:t xml:space="preserve"> konkrētā</w:t>
            </w:r>
            <w:r w:rsidRPr="009A171A">
              <w:rPr>
                <w:sz w:val="22"/>
                <w:szCs w:val="22"/>
              </w:rPr>
              <w:t xml:space="preserve"> ražotāja produkciju un uzņemties garantijas saistības.</w:t>
            </w:r>
          </w:p>
          <w:p w14:paraId="7B9BF8CC" w14:textId="1CDC07BD" w:rsidR="005D32E0" w:rsidRPr="009643F7" w:rsidRDefault="00E0570C" w:rsidP="00E0570C">
            <w:pPr>
              <w:pStyle w:val="NoSpacing"/>
              <w:jc w:val="both"/>
              <w:rPr>
                <w:b/>
                <w:sz w:val="22"/>
                <w:szCs w:val="22"/>
              </w:rPr>
            </w:pPr>
            <w:r>
              <w:rPr>
                <w:b/>
                <w:sz w:val="22"/>
                <w:szCs w:val="22"/>
              </w:rPr>
              <w:t>b</w:t>
            </w:r>
            <w:r w:rsidR="005D32E0" w:rsidRPr="009A171A">
              <w:rPr>
                <w:b/>
                <w:sz w:val="22"/>
                <w:szCs w:val="22"/>
              </w:rPr>
              <w:t>)</w:t>
            </w:r>
            <w:r w:rsidR="005D32E0">
              <w:rPr>
                <w:sz w:val="22"/>
                <w:szCs w:val="22"/>
              </w:rPr>
              <w:t xml:space="preserve"> </w:t>
            </w:r>
            <w:r w:rsidR="005D32E0" w:rsidRPr="009A171A">
              <w:rPr>
                <w:sz w:val="22"/>
                <w:szCs w:val="22"/>
              </w:rPr>
              <w:t xml:space="preserve">Informācija par apkopes </w:t>
            </w:r>
            <w:r>
              <w:rPr>
                <w:sz w:val="22"/>
                <w:szCs w:val="22"/>
              </w:rPr>
              <w:t xml:space="preserve">vai kontaktu </w:t>
            </w:r>
            <w:r w:rsidR="005D32E0" w:rsidRPr="009A171A">
              <w:rPr>
                <w:sz w:val="22"/>
                <w:szCs w:val="22"/>
              </w:rPr>
              <w:t>centriem Latvijā, kur</w:t>
            </w:r>
            <w:r>
              <w:rPr>
                <w:sz w:val="22"/>
                <w:szCs w:val="22"/>
              </w:rPr>
              <w:t>o</w:t>
            </w:r>
            <w:r w:rsidR="005D32E0" w:rsidRPr="009A171A">
              <w:rPr>
                <w:sz w:val="22"/>
                <w:szCs w:val="22"/>
              </w:rPr>
              <w:t xml:space="preserve">s Pasūtītājs varēs </w:t>
            </w:r>
            <w:r>
              <w:rPr>
                <w:sz w:val="22"/>
                <w:szCs w:val="22"/>
              </w:rPr>
              <w:t xml:space="preserve">vērsties, lai varētu </w:t>
            </w:r>
            <w:r w:rsidR="005D32E0" w:rsidRPr="009A171A">
              <w:rPr>
                <w:sz w:val="22"/>
                <w:szCs w:val="22"/>
              </w:rPr>
              <w:t>veikt Pretendenta piedāvātā</w:t>
            </w:r>
            <w:r>
              <w:rPr>
                <w:sz w:val="22"/>
                <w:szCs w:val="22"/>
              </w:rPr>
              <w:t>s</w:t>
            </w:r>
            <w:r w:rsidR="005D32E0" w:rsidRPr="009A171A">
              <w:rPr>
                <w:sz w:val="22"/>
                <w:szCs w:val="22"/>
              </w:rPr>
              <w:t xml:space="preserve"> </w:t>
            </w:r>
            <w:r>
              <w:rPr>
                <w:sz w:val="22"/>
                <w:szCs w:val="22"/>
              </w:rPr>
              <w:t>preces</w:t>
            </w:r>
            <w:r w:rsidR="005D32E0" w:rsidRPr="009A171A">
              <w:rPr>
                <w:sz w:val="22"/>
                <w:szCs w:val="22"/>
              </w:rPr>
              <w:t xml:space="preserve"> apkopi </w:t>
            </w:r>
            <w:r>
              <w:rPr>
                <w:sz w:val="22"/>
                <w:szCs w:val="22"/>
              </w:rPr>
              <w:t xml:space="preserve">vai remontu </w:t>
            </w:r>
            <w:r w:rsidR="005D32E0" w:rsidRPr="009A171A">
              <w:rPr>
                <w:sz w:val="22"/>
                <w:szCs w:val="22"/>
              </w:rPr>
              <w:t>garantijas laikā.</w:t>
            </w:r>
          </w:p>
        </w:tc>
      </w:tr>
      <w:tr w:rsidR="006F0FDD" w:rsidRPr="009643F7" w14:paraId="5D3E3C09" w14:textId="77777777" w:rsidTr="008731E9">
        <w:tc>
          <w:tcPr>
            <w:tcW w:w="4678" w:type="dxa"/>
            <w:tcBorders>
              <w:bottom w:val="single" w:sz="4" w:space="0" w:color="auto"/>
            </w:tcBorders>
            <w:shd w:val="clear" w:color="auto" w:fill="auto"/>
          </w:tcPr>
          <w:p w14:paraId="0D1825EA" w14:textId="25F84B17" w:rsidR="006F0FDD" w:rsidRPr="009B3DCE" w:rsidRDefault="006F0FDD" w:rsidP="006F0FDD">
            <w:pPr>
              <w:pStyle w:val="BodyText"/>
              <w:tabs>
                <w:tab w:val="left" w:pos="640"/>
                <w:tab w:val="left" w:pos="870"/>
                <w:tab w:val="left" w:pos="1126"/>
              </w:tabs>
              <w:jc w:val="both"/>
              <w:rPr>
                <w:sz w:val="22"/>
                <w:szCs w:val="22"/>
              </w:rPr>
            </w:pPr>
            <w:r w:rsidRPr="009B3DCE">
              <w:rPr>
                <w:b/>
                <w:sz w:val="22"/>
                <w:szCs w:val="22"/>
              </w:rPr>
              <w:t>2.</w:t>
            </w:r>
            <w:r w:rsidR="009B3DCE" w:rsidRPr="009B3DCE">
              <w:rPr>
                <w:b/>
                <w:sz w:val="22"/>
                <w:szCs w:val="22"/>
              </w:rPr>
              <w:t>9</w:t>
            </w:r>
            <w:r w:rsidRPr="009B3DCE">
              <w:rPr>
                <w:b/>
                <w:sz w:val="22"/>
                <w:szCs w:val="22"/>
              </w:rPr>
              <w:t xml:space="preserve">. </w:t>
            </w:r>
            <w:r w:rsidRPr="009B3DCE">
              <w:rPr>
                <w:sz w:val="22"/>
                <w:szCs w:val="22"/>
              </w:rPr>
              <w:t>Pretendentam iepriekšējo 3 (</w:t>
            </w:r>
            <w:r w:rsidRPr="009B3DCE">
              <w:rPr>
                <w:i/>
                <w:sz w:val="22"/>
                <w:szCs w:val="22"/>
              </w:rPr>
              <w:t>trīs</w:t>
            </w:r>
            <w:r w:rsidRPr="009B3DCE">
              <w:rPr>
                <w:sz w:val="22"/>
                <w:szCs w:val="22"/>
              </w:rPr>
              <w:t>) gadu laikā (2015., 2016., 2017.gadā un 2018.gadā līdz piedāvājumu iesniegšanas termiņa beigām) ir pieredze vismaz 1 (</w:t>
            </w:r>
            <w:r w:rsidRPr="009B3DCE">
              <w:rPr>
                <w:i/>
                <w:sz w:val="22"/>
                <w:szCs w:val="22"/>
              </w:rPr>
              <w:t>viena</w:t>
            </w:r>
            <w:r w:rsidRPr="009B3DCE">
              <w:rPr>
                <w:sz w:val="22"/>
                <w:szCs w:val="22"/>
              </w:rPr>
              <w:t>) līdzīga līguma izpildē. Pieredzi apliecina vismaz 1 (</w:t>
            </w:r>
            <w:r w:rsidRPr="009B3DCE">
              <w:rPr>
                <w:i/>
                <w:sz w:val="22"/>
                <w:szCs w:val="22"/>
              </w:rPr>
              <w:t>viena</w:t>
            </w:r>
            <w:r w:rsidRPr="009B3DCE">
              <w:rPr>
                <w:sz w:val="22"/>
                <w:szCs w:val="22"/>
              </w:rPr>
              <w:t>) attiecīgā līguma pasūtītāja atsauksme par līguma izpildi.</w:t>
            </w:r>
          </w:p>
          <w:p w14:paraId="72733F5F" w14:textId="77777777" w:rsidR="006F0FDD" w:rsidRPr="009B3DCE" w:rsidRDefault="006F0FDD" w:rsidP="006F0FDD">
            <w:pPr>
              <w:pStyle w:val="BodyText"/>
              <w:tabs>
                <w:tab w:val="left" w:pos="640"/>
                <w:tab w:val="left" w:pos="870"/>
                <w:tab w:val="left" w:pos="1126"/>
              </w:tabs>
              <w:jc w:val="both"/>
              <w:rPr>
                <w:sz w:val="22"/>
                <w:szCs w:val="22"/>
              </w:rPr>
            </w:pPr>
          </w:p>
          <w:p w14:paraId="38B30BB7" w14:textId="7275A838" w:rsidR="006F0FDD" w:rsidRPr="009B3DCE" w:rsidRDefault="006F0FDD" w:rsidP="004709FB">
            <w:pPr>
              <w:pStyle w:val="BodyText"/>
              <w:tabs>
                <w:tab w:val="left" w:pos="640"/>
                <w:tab w:val="left" w:pos="870"/>
                <w:tab w:val="left" w:pos="1126"/>
              </w:tabs>
              <w:jc w:val="both"/>
              <w:rPr>
                <w:b/>
                <w:sz w:val="22"/>
                <w:szCs w:val="22"/>
              </w:rPr>
            </w:pPr>
            <w:r w:rsidRPr="009B3DCE">
              <w:rPr>
                <w:sz w:val="22"/>
                <w:szCs w:val="22"/>
              </w:rPr>
              <w:t>Par līdzīgu līgumu šī konkursa ietvar</w:t>
            </w:r>
            <w:r w:rsidR="001547E7" w:rsidRPr="009B3DCE">
              <w:rPr>
                <w:sz w:val="22"/>
                <w:szCs w:val="22"/>
              </w:rPr>
              <w:t xml:space="preserve">os tiks atzīts līgums par jauna </w:t>
            </w:r>
            <w:r w:rsidR="00BC234C" w:rsidRPr="009B3DCE">
              <w:rPr>
                <w:sz w:val="22"/>
                <w:szCs w:val="22"/>
              </w:rPr>
              <w:t>datortomogrāfa</w:t>
            </w:r>
            <w:r w:rsidRPr="009B3DCE">
              <w:rPr>
                <w:sz w:val="22"/>
                <w:szCs w:val="22"/>
              </w:rPr>
              <w:t xml:space="preserve"> piegādi un garantijas apkalpošanu.</w:t>
            </w:r>
          </w:p>
        </w:tc>
        <w:tc>
          <w:tcPr>
            <w:tcW w:w="4536" w:type="dxa"/>
            <w:tcBorders>
              <w:bottom w:val="single" w:sz="4" w:space="0" w:color="auto"/>
            </w:tcBorders>
            <w:shd w:val="clear" w:color="auto" w:fill="auto"/>
          </w:tcPr>
          <w:p w14:paraId="4B1F58E9" w14:textId="77777777" w:rsidR="006F0FDD" w:rsidRPr="009B3DCE" w:rsidRDefault="006F0FDD" w:rsidP="006F0FDD">
            <w:pPr>
              <w:tabs>
                <w:tab w:val="left" w:pos="1022"/>
              </w:tabs>
              <w:autoSpaceDE w:val="0"/>
              <w:jc w:val="both"/>
              <w:rPr>
                <w:rFonts w:ascii="Times New Roman" w:hAnsi="Times New Roman" w:cs="Times New Roman"/>
              </w:rPr>
            </w:pPr>
            <w:r w:rsidRPr="009B3DCE">
              <w:rPr>
                <w:rFonts w:ascii="Times New Roman" w:hAnsi="Times New Roman" w:cs="Times New Roman"/>
                <w:b/>
              </w:rPr>
              <w:t>a)</w:t>
            </w:r>
            <w:r w:rsidRPr="009B3DCE">
              <w:rPr>
                <w:rFonts w:ascii="Times New Roman" w:hAnsi="Times New Roman" w:cs="Times New Roman"/>
              </w:rPr>
              <w:t xml:space="preserve"> Informācija par iepriekšējo pieredzi (pēc formas – nolikuma 3. pielikums). </w:t>
            </w:r>
          </w:p>
          <w:p w14:paraId="0CA2CF25" w14:textId="510CC037" w:rsidR="006F0FDD" w:rsidRPr="009643F7" w:rsidRDefault="006F0FDD" w:rsidP="006F0FDD">
            <w:pPr>
              <w:tabs>
                <w:tab w:val="left" w:pos="854"/>
                <w:tab w:val="left" w:pos="3600"/>
                <w:tab w:val="left" w:pos="4500"/>
              </w:tabs>
              <w:jc w:val="both"/>
              <w:rPr>
                <w:rFonts w:ascii="Times New Roman" w:hAnsi="Times New Roman" w:cs="Times New Roman"/>
                <w:color w:val="000000"/>
              </w:rPr>
            </w:pPr>
            <w:r w:rsidRPr="009B3DCE">
              <w:rPr>
                <w:rFonts w:ascii="Times New Roman" w:hAnsi="Times New Roman" w:cs="Times New Roman"/>
                <w:b/>
              </w:rPr>
              <w:t>b)</w:t>
            </w:r>
            <w:r w:rsidR="007D4E03" w:rsidRPr="009B3DCE">
              <w:rPr>
                <w:rFonts w:ascii="Times New Roman" w:hAnsi="Times New Roman" w:cs="Times New Roman"/>
              </w:rPr>
              <w:t xml:space="preserve"> Attiecīgā</w:t>
            </w:r>
            <w:r w:rsidRPr="009B3DCE">
              <w:rPr>
                <w:rFonts w:ascii="Times New Roman" w:hAnsi="Times New Roman" w:cs="Times New Roman"/>
              </w:rPr>
              <w:t xml:space="preserve"> līgum</w:t>
            </w:r>
            <w:r w:rsidR="007D4E03" w:rsidRPr="009B3DCE">
              <w:rPr>
                <w:rFonts w:ascii="Times New Roman" w:hAnsi="Times New Roman" w:cs="Times New Roman"/>
              </w:rPr>
              <w:t>a pasūtītāja</w:t>
            </w:r>
            <w:r w:rsidRPr="009B3DCE">
              <w:rPr>
                <w:rFonts w:ascii="Times New Roman" w:hAnsi="Times New Roman" w:cs="Times New Roman"/>
              </w:rPr>
              <w:t xml:space="preserve"> </w:t>
            </w:r>
            <w:r w:rsidR="007D4E03" w:rsidRPr="009B3DCE">
              <w:rPr>
                <w:rFonts w:ascii="Times New Roman" w:hAnsi="Times New Roman" w:cs="Times New Roman"/>
              </w:rPr>
              <w:t>atsauksme</w:t>
            </w:r>
            <w:r w:rsidRPr="009B3DCE">
              <w:rPr>
                <w:rFonts w:ascii="Times New Roman" w:hAnsi="Times New Roman" w:cs="Times New Roman"/>
              </w:rPr>
              <w:t>.</w:t>
            </w:r>
          </w:p>
          <w:p w14:paraId="5CF17284" w14:textId="77777777" w:rsidR="006F0FDD" w:rsidRDefault="006F0FDD" w:rsidP="006F0FDD">
            <w:pPr>
              <w:pStyle w:val="BodyText"/>
              <w:tabs>
                <w:tab w:val="left" w:pos="317"/>
              </w:tabs>
              <w:jc w:val="both"/>
              <w:rPr>
                <w:color w:val="000000"/>
                <w:sz w:val="22"/>
                <w:szCs w:val="22"/>
              </w:rPr>
            </w:pPr>
          </w:p>
          <w:p w14:paraId="47D54ED6" w14:textId="77777777" w:rsidR="006F0FDD" w:rsidRPr="009643F7" w:rsidRDefault="006F0FDD" w:rsidP="006F0FDD">
            <w:pPr>
              <w:tabs>
                <w:tab w:val="left" w:pos="1022"/>
              </w:tabs>
              <w:autoSpaceDE w:val="0"/>
              <w:jc w:val="both"/>
              <w:rPr>
                <w:rFonts w:ascii="Times New Roman" w:hAnsi="Times New Roman" w:cs="Times New Roman"/>
                <w:b/>
              </w:rPr>
            </w:pPr>
          </w:p>
        </w:tc>
      </w:tr>
      <w:tr w:rsidR="006F0FDD" w:rsidRPr="008731E9" w14:paraId="09F097D6" w14:textId="77777777" w:rsidTr="008731E9">
        <w:trPr>
          <w:trHeight w:val="558"/>
        </w:trPr>
        <w:tc>
          <w:tcPr>
            <w:tcW w:w="9214" w:type="dxa"/>
            <w:gridSpan w:val="2"/>
            <w:tcBorders>
              <w:top w:val="single" w:sz="4" w:space="0" w:color="auto"/>
            </w:tcBorders>
            <w:shd w:val="clear" w:color="auto" w:fill="auto"/>
          </w:tcPr>
          <w:p w14:paraId="51792897" w14:textId="6BA8DC3A" w:rsidR="006F0FDD" w:rsidRPr="009B3DCE" w:rsidRDefault="006F0FDD" w:rsidP="006F0FDD">
            <w:pPr>
              <w:pStyle w:val="NoSpacing"/>
              <w:jc w:val="both"/>
              <w:rPr>
                <w:sz w:val="22"/>
                <w:szCs w:val="22"/>
              </w:rPr>
            </w:pPr>
            <w:r w:rsidRPr="009B3DCE">
              <w:rPr>
                <w:b/>
                <w:sz w:val="22"/>
                <w:szCs w:val="22"/>
              </w:rPr>
              <w:t>2.1</w:t>
            </w:r>
            <w:r w:rsidR="009B3DCE" w:rsidRPr="009B3DCE">
              <w:rPr>
                <w:b/>
                <w:sz w:val="22"/>
                <w:szCs w:val="22"/>
              </w:rPr>
              <w:t>0</w:t>
            </w:r>
            <w:r w:rsidRPr="009B3DCE">
              <w:rPr>
                <w:b/>
                <w:sz w:val="22"/>
                <w:szCs w:val="22"/>
              </w:rPr>
              <w:t>.</w:t>
            </w:r>
            <w:r w:rsidRPr="009B3DCE">
              <w:rPr>
                <w:sz w:val="22"/>
                <w:szCs w:val="22"/>
              </w:rPr>
              <w:t xml:space="preserve"> Ja Pretendents līguma izpildē ir paredzējis piesaistīt citus uzņēmējus (apakšuzņēmējus)</w:t>
            </w:r>
            <w:r w:rsidRPr="009B3DCE">
              <w:rPr>
                <w:rStyle w:val="FootnoteReference"/>
                <w:sz w:val="22"/>
                <w:szCs w:val="22"/>
              </w:rPr>
              <w:footnoteReference w:id="4"/>
            </w:r>
            <w:r w:rsidRPr="009B3DCE">
              <w:rPr>
                <w:sz w:val="22"/>
                <w:szCs w:val="22"/>
              </w:rPr>
              <w:t>, informāciju norāda pieteikumā dalībai atklātā konkursā (nolikuma 1.</w:t>
            </w:r>
            <w:r w:rsidR="00AF3A3D" w:rsidRPr="009B3DCE">
              <w:rPr>
                <w:sz w:val="22"/>
                <w:szCs w:val="22"/>
              </w:rPr>
              <w:t> </w:t>
            </w:r>
            <w:r w:rsidRPr="009B3DCE">
              <w:rPr>
                <w:sz w:val="22"/>
                <w:szCs w:val="22"/>
              </w:rPr>
              <w:t xml:space="preserve">pielikums) un piedāvājumam pievieno vienošanos ar katru apakšuzņēmēju par konkrētu darbu izpildi vai apakšuzņēmēja apliecinājumu par dalību līguma izpildē, ja līgums tiktu piešķirts pretendentam. </w:t>
            </w:r>
          </w:p>
          <w:p w14:paraId="734A717C" w14:textId="30171670" w:rsidR="006F0FDD" w:rsidRPr="008731E9" w:rsidRDefault="006F0FDD" w:rsidP="006F0FDD">
            <w:pPr>
              <w:pStyle w:val="NoSpacing"/>
              <w:jc w:val="both"/>
              <w:rPr>
                <w:b/>
                <w:sz w:val="22"/>
                <w:szCs w:val="22"/>
              </w:rPr>
            </w:pPr>
            <w:r w:rsidRPr="009B3DCE">
              <w:rPr>
                <w:sz w:val="22"/>
                <w:szCs w:val="22"/>
              </w:rPr>
              <w:t>Informācija jānorāda par tiem apakšuzņēmējiem, kuriem nododamā darba daļa ir vismaz 10% (</w:t>
            </w:r>
            <w:r w:rsidRPr="009B3DCE">
              <w:rPr>
                <w:i/>
                <w:sz w:val="22"/>
                <w:szCs w:val="22"/>
              </w:rPr>
              <w:t>desmit procenti</w:t>
            </w:r>
            <w:r w:rsidRPr="009B3DCE">
              <w:rPr>
                <w:sz w:val="22"/>
                <w:szCs w:val="22"/>
              </w:rPr>
              <w:t>) no apjoma katrā iepirkuma daļā atsevišķi.</w:t>
            </w:r>
          </w:p>
        </w:tc>
      </w:tr>
      <w:tr w:rsidR="006F0FDD" w:rsidRPr="008731E9" w14:paraId="3D46788C" w14:textId="77777777" w:rsidTr="008731E9">
        <w:trPr>
          <w:trHeight w:val="125"/>
        </w:trPr>
        <w:tc>
          <w:tcPr>
            <w:tcW w:w="9214" w:type="dxa"/>
            <w:gridSpan w:val="2"/>
            <w:shd w:val="clear" w:color="auto" w:fill="F2F2F2" w:themeFill="background1" w:themeFillShade="F2"/>
          </w:tcPr>
          <w:p w14:paraId="30BF7DB6" w14:textId="44A45F2D" w:rsidR="006F0FDD" w:rsidRPr="008731E9" w:rsidRDefault="006F0FDD" w:rsidP="006F0FDD">
            <w:pPr>
              <w:pStyle w:val="NoSpacing"/>
              <w:jc w:val="center"/>
              <w:rPr>
                <w:b/>
                <w:sz w:val="22"/>
                <w:szCs w:val="22"/>
              </w:rPr>
            </w:pPr>
            <w:r>
              <w:rPr>
                <w:b/>
                <w:sz w:val="22"/>
                <w:szCs w:val="22"/>
              </w:rPr>
              <w:t>TEHNISKAIS  UN FINANŠU PIEDĀVĀJUMS</w:t>
            </w:r>
          </w:p>
        </w:tc>
      </w:tr>
      <w:tr w:rsidR="006F0FDD" w:rsidRPr="008731E9" w14:paraId="29218033" w14:textId="77777777" w:rsidTr="008731E9">
        <w:trPr>
          <w:trHeight w:val="865"/>
        </w:trPr>
        <w:tc>
          <w:tcPr>
            <w:tcW w:w="4678" w:type="dxa"/>
            <w:shd w:val="clear" w:color="auto" w:fill="auto"/>
          </w:tcPr>
          <w:p w14:paraId="2480B3E3" w14:textId="22281273" w:rsidR="006F0FDD" w:rsidRPr="009B3DCE" w:rsidRDefault="006F0FDD" w:rsidP="00F131B5">
            <w:pPr>
              <w:pStyle w:val="NoSpacing"/>
              <w:jc w:val="both"/>
              <w:rPr>
                <w:b/>
                <w:sz w:val="22"/>
                <w:szCs w:val="22"/>
              </w:rPr>
            </w:pPr>
            <w:r w:rsidRPr="009B3DCE">
              <w:rPr>
                <w:b/>
                <w:sz w:val="22"/>
                <w:szCs w:val="22"/>
              </w:rPr>
              <w:t>2.1</w:t>
            </w:r>
            <w:r w:rsidR="00F131B5">
              <w:rPr>
                <w:b/>
                <w:sz w:val="22"/>
                <w:szCs w:val="22"/>
              </w:rPr>
              <w:t>1</w:t>
            </w:r>
            <w:r w:rsidRPr="009B3DCE">
              <w:rPr>
                <w:b/>
                <w:sz w:val="22"/>
                <w:szCs w:val="22"/>
              </w:rPr>
              <w:t xml:space="preserve">. </w:t>
            </w:r>
            <w:r w:rsidRPr="009B3DCE">
              <w:rPr>
                <w:sz w:val="22"/>
                <w:szCs w:val="22"/>
              </w:rPr>
              <w:t>Pretendents ir iesniedzis tehnisko un</w:t>
            </w:r>
            <w:r w:rsidR="004709FB" w:rsidRPr="009B3DCE">
              <w:rPr>
                <w:sz w:val="22"/>
                <w:szCs w:val="22"/>
              </w:rPr>
              <w:t xml:space="preserve"> finanšu piedāvājumu konkursam.</w:t>
            </w:r>
          </w:p>
        </w:tc>
        <w:tc>
          <w:tcPr>
            <w:tcW w:w="4536" w:type="dxa"/>
            <w:shd w:val="clear" w:color="auto" w:fill="auto"/>
          </w:tcPr>
          <w:p w14:paraId="7881DDA8" w14:textId="0A749B03" w:rsidR="006F0FDD" w:rsidRPr="008731E9" w:rsidRDefault="006F0FDD" w:rsidP="000E6F39">
            <w:pPr>
              <w:pStyle w:val="NoSpacing"/>
              <w:jc w:val="both"/>
              <w:rPr>
                <w:sz w:val="22"/>
                <w:szCs w:val="22"/>
              </w:rPr>
            </w:pPr>
            <w:r w:rsidRPr="009B3DCE">
              <w:rPr>
                <w:b/>
                <w:sz w:val="22"/>
                <w:szCs w:val="22"/>
              </w:rPr>
              <w:t>T</w:t>
            </w:r>
            <w:r w:rsidR="004709FB" w:rsidRPr="009B3DCE">
              <w:rPr>
                <w:b/>
                <w:sz w:val="22"/>
                <w:szCs w:val="22"/>
              </w:rPr>
              <w:t>ehniskais un finanšu piedāvājums</w:t>
            </w:r>
            <w:r w:rsidRPr="009B3DCE">
              <w:rPr>
                <w:b/>
                <w:sz w:val="22"/>
                <w:szCs w:val="22"/>
              </w:rPr>
              <w:t xml:space="preserve"> </w:t>
            </w:r>
            <w:r w:rsidRPr="009B3DCE">
              <w:rPr>
                <w:sz w:val="22"/>
                <w:szCs w:val="22"/>
              </w:rPr>
              <w:t>(pēc formas nolikuma 2</w:t>
            </w:r>
            <w:r w:rsidR="00BC234C" w:rsidRPr="009B3DCE">
              <w:rPr>
                <w:sz w:val="22"/>
                <w:szCs w:val="22"/>
              </w:rPr>
              <w:t> </w:t>
            </w:r>
            <w:r w:rsidR="00B82976">
              <w:rPr>
                <w:sz w:val="22"/>
                <w:szCs w:val="22"/>
              </w:rPr>
              <w:t>p</w:t>
            </w:r>
            <w:r w:rsidRPr="009B3DCE">
              <w:rPr>
                <w:sz w:val="22"/>
                <w:szCs w:val="22"/>
              </w:rPr>
              <w:t>ielikums).</w:t>
            </w:r>
          </w:p>
        </w:tc>
      </w:tr>
    </w:tbl>
    <w:p w14:paraId="41AFFA28" w14:textId="77777777" w:rsidR="00037799" w:rsidRDefault="00037799" w:rsidP="003001BD">
      <w:pPr>
        <w:spacing w:after="0" w:line="240" w:lineRule="auto"/>
        <w:rPr>
          <w:rFonts w:ascii="Times New Roman" w:hAnsi="Times New Roman" w:cs="Times New Roman"/>
          <w:b/>
        </w:rPr>
      </w:pPr>
    </w:p>
    <w:p w14:paraId="6970F9AE" w14:textId="39527060" w:rsidR="004F1F22" w:rsidRPr="00A80E7D" w:rsidRDefault="00DC1C16" w:rsidP="004F1F22">
      <w:pPr>
        <w:spacing w:after="0" w:line="240" w:lineRule="auto"/>
        <w:jc w:val="center"/>
        <w:rPr>
          <w:rFonts w:ascii="Times New Roman" w:hAnsi="Times New Roman" w:cs="Times New Roman"/>
          <w:b/>
        </w:rPr>
      </w:pPr>
      <w:r>
        <w:rPr>
          <w:rFonts w:ascii="Times New Roman" w:hAnsi="Times New Roman" w:cs="Times New Roman"/>
          <w:b/>
        </w:rPr>
        <w:lastRenderedPageBreak/>
        <w:t>III</w:t>
      </w:r>
      <w:r w:rsidR="004F1F22" w:rsidRPr="00A80E7D">
        <w:rPr>
          <w:rFonts w:ascii="Times New Roman" w:hAnsi="Times New Roman" w:cs="Times New Roman"/>
          <w:b/>
        </w:rPr>
        <w:t xml:space="preserve"> SADAĻA</w:t>
      </w:r>
    </w:p>
    <w:p w14:paraId="2E277DED" w14:textId="08572849" w:rsidR="00D20EB0" w:rsidRDefault="00D20EB0" w:rsidP="004F1F22">
      <w:pPr>
        <w:spacing w:after="0" w:line="240" w:lineRule="auto"/>
        <w:jc w:val="center"/>
        <w:rPr>
          <w:rFonts w:ascii="Times New Roman" w:hAnsi="Times New Roman" w:cs="Times New Roman"/>
          <w:b/>
        </w:rPr>
      </w:pPr>
      <w:r w:rsidRPr="00A80E7D">
        <w:rPr>
          <w:rFonts w:ascii="Times New Roman" w:hAnsi="Times New Roman" w:cs="Times New Roman"/>
          <w:b/>
        </w:rPr>
        <w:t>PIEDĀVĀJUMA IZVĒRTĒŠANAS KRITĒRIJS</w:t>
      </w:r>
      <w:r w:rsidR="000F3837">
        <w:rPr>
          <w:rFonts w:ascii="Times New Roman" w:hAnsi="Times New Roman" w:cs="Times New Roman"/>
          <w:b/>
        </w:rPr>
        <w:t xml:space="preserve"> </w:t>
      </w:r>
    </w:p>
    <w:p w14:paraId="24E741E0" w14:textId="77777777" w:rsidR="00971B40" w:rsidRPr="00A80E7D" w:rsidRDefault="00971B40" w:rsidP="004F1F22">
      <w:pPr>
        <w:spacing w:after="0" w:line="240" w:lineRule="auto"/>
        <w:jc w:val="center"/>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062BE2" w:rsidRPr="00A35323" w14:paraId="578820EC" w14:textId="77777777" w:rsidTr="00A51F9E">
        <w:tc>
          <w:tcPr>
            <w:tcW w:w="9209" w:type="dxa"/>
          </w:tcPr>
          <w:p w14:paraId="54F13FD1" w14:textId="56B344CE" w:rsidR="009345EA" w:rsidRDefault="00DC1C16" w:rsidP="009345EA">
            <w:pPr>
              <w:jc w:val="both"/>
              <w:rPr>
                <w:rFonts w:ascii="Times New Roman" w:hAnsi="Times New Roman" w:cs="Times New Roman"/>
              </w:rPr>
            </w:pPr>
            <w:r w:rsidRPr="009B3DCE">
              <w:rPr>
                <w:rFonts w:ascii="Times New Roman" w:eastAsia="ArialMT" w:hAnsi="Times New Roman" w:cs="Times New Roman"/>
                <w:b/>
                <w:iCs/>
              </w:rPr>
              <w:t>3</w:t>
            </w:r>
            <w:r w:rsidR="00062BE2" w:rsidRPr="009B3DCE">
              <w:rPr>
                <w:rFonts w:ascii="Times New Roman" w:eastAsia="ArialMT" w:hAnsi="Times New Roman" w:cs="Times New Roman"/>
                <w:b/>
                <w:iCs/>
              </w:rPr>
              <w:t xml:space="preserve">.1. </w:t>
            </w:r>
            <w:r w:rsidR="00062BE2" w:rsidRPr="009B3DCE">
              <w:rPr>
                <w:rFonts w:ascii="Times New Roman" w:eastAsia="ArialMT" w:hAnsi="Times New Roman" w:cs="Times New Roman"/>
                <w:iCs/>
              </w:rPr>
              <w:t>Pamatojoties uz Publisko iepirkumu likuma 51.pantu, Komisija piešķir līguma slēgšanas tiesības piedāvājumam</w:t>
            </w:r>
            <w:r w:rsidR="005D3470" w:rsidRPr="009B3DCE">
              <w:rPr>
                <w:rFonts w:ascii="Times New Roman" w:eastAsia="ArialMT" w:hAnsi="Times New Roman" w:cs="Times New Roman"/>
                <w:iCs/>
              </w:rPr>
              <w:t xml:space="preserve"> </w:t>
            </w:r>
            <w:r w:rsidR="00BC234C" w:rsidRPr="009B3DCE">
              <w:rPr>
                <w:rFonts w:ascii="Times New Roman" w:eastAsia="ArialMT" w:hAnsi="Times New Roman" w:cs="Times New Roman"/>
                <w:iCs/>
              </w:rPr>
              <w:t>ar viszemāko cenu</w:t>
            </w:r>
            <w:r w:rsidR="009345EA" w:rsidRPr="009B3DCE">
              <w:rPr>
                <w:rFonts w:ascii="Times New Roman" w:eastAsia="ArialMT" w:hAnsi="Times New Roman" w:cs="Times New Roman"/>
                <w:iCs/>
              </w:rPr>
              <w:t>, kas atbilst nolikuma un tā pielikumu prasībām un nav atzīts par nepamatoti lētu</w:t>
            </w:r>
            <w:r w:rsidR="009345EA" w:rsidRPr="009B3DCE">
              <w:rPr>
                <w:rFonts w:ascii="Times New Roman" w:hAnsi="Times New Roman" w:cs="Times New Roman"/>
              </w:rPr>
              <w:t>.</w:t>
            </w:r>
          </w:p>
          <w:p w14:paraId="218DC9EC" w14:textId="42D24EF8" w:rsidR="005D32E0" w:rsidRPr="00A35323" w:rsidRDefault="005D32E0" w:rsidP="005D32E0">
            <w:pPr>
              <w:jc w:val="both"/>
              <w:rPr>
                <w:rFonts w:ascii="Times New Roman" w:hAnsi="Times New Roman" w:cs="Times New Roman"/>
              </w:rPr>
            </w:pPr>
          </w:p>
        </w:tc>
      </w:tr>
      <w:tr w:rsidR="00062BE2" w:rsidRPr="007E5F89" w14:paraId="41B301A3" w14:textId="77777777" w:rsidTr="00A51F9E">
        <w:tc>
          <w:tcPr>
            <w:tcW w:w="9209" w:type="dxa"/>
          </w:tcPr>
          <w:p w14:paraId="1C63F4CC" w14:textId="36F48C4A" w:rsidR="009643F7" w:rsidRPr="009643F7" w:rsidRDefault="009643F7" w:rsidP="00F76693">
            <w:pPr>
              <w:jc w:val="both"/>
              <w:rPr>
                <w:rFonts w:ascii="Times New Roman" w:hAnsi="Times New Roman" w:cs="Times New Roman"/>
              </w:rPr>
            </w:pPr>
          </w:p>
        </w:tc>
      </w:tr>
      <w:tr w:rsidR="00455F64" w:rsidRPr="00455F64" w14:paraId="1C732035" w14:textId="77777777" w:rsidTr="00A51F9E">
        <w:tc>
          <w:tcPr>
            <w:tcW w:w="9209" w:type="dxa"/>
          </w:tcPr>
          <w:p w14:paraId="33FA17E3" w14:textId="0B10964E" w:rsidR="000F5112" w:rsidRPr="00455F64" w:rsidRDefault="00DC1C16" w:rsidP="00316AA1">
            <w:pPr>
              <w:jc w:val="both"/>
              <w:rPr>
                <w:rFonts w:ascii="Times New Roman" w:hAnsi="Times New Roman" w:cs="Times New Roman"/>
              </w:rPr>
            </w:pPr>
            <w:r>
              <w:rPr>
                <w:rFonts w:ascii="Times New Roman" w:hAnsi="Times New Roman" w:cs="Times New Roman"/>
                <w:b/>
                <w:lang w:eastAsia="ar-SA"/>
              </w:rPr>
              <w:t>3</w:t>
            </w:r>
            <w:r w:rsidR="005D32E0">
              <w:rPr>
                <w:rFonts w:ascii="Times New Roman" w:hAnsi="Times New Roman" w:cs="Times New Roman"/>
                <w:b/>
                <w:lang w:eastAsia="ar-SA"/>
              </w:rPr>
              <w:t>.</w:t>
            </w:r>
            <w:r w:rsidR="00316AA1">
              <w:rPr>
                <w:rFonts w:ascii="Times New Roman" w:hAnsi="Times New Roman" w:cs="Times New Roman"/>
                <w:b/>
                <w:lang w:eastAsia="ar-SA"/>
              </w:rPr>
              <w:t>2</w:t>
            </w:r>
            <w:r w:rsidR="00037799" w:rsidRPr="00455F64">
              <w:rPr>
                <w:rFonts w:ascii="Times New Roman" w:hAnsi="Times New Roman" w:cs="Times New Roman"/>
                <w:b/>
                <w:lang w:eastAsia="ar-SA"/>
              </w:rPr>
              <w:t xml:space="preserve">. </w:t>
            </w:r>
            <w:r w:rsidR="00283A4B" w:rsidRPr="00455F64">
              <w:rPr>
                <w:rFonts w:ascii="Times New Roman" w:hAnsi="Times New Roman" w:cs="Times New Roman"/>
                <w:lang w:eastAsia="ar-SA"/>
              </w:rPr>
              <w:t>Ja vismaz 2 (</w:t>
            </w:r>
            <w:r w:rsidR="00283A4B" w:rsidRPr="00455F64">
              <w:rPr>
                <w:rFonts w:ascii="Times New Roman" w:hAnsi="Times New Roman" w:cs="Times New Roman"/>
                <w:i/>
                <w:iCs/>
                <w:lang w:eastAsia="ar-SA"/>
              </w:rPr>
              <w:t>diviem</w:t>
            </w:r>
            <w:r w:rsidR="00283A4B" w:rsidRPr="00455F64">
              <w:rPr>
                <w:rFonts w:ascii="Times New Roman" w:hAnsi="Times New Roman" w:cs="Times New Roman"/>
                <w:lang w:eastAsia="ar-SA"/>
              </w:rPr>
              <w:t xml:space="preserve">) piedāvājumiem </w:t>
            </w:r>
            <w:r w:rsidR="000C06BF">
              <w:rPr>
                <w:rFonts w:ascii="Times New Roman" w:hAnsi="Times New Roman" w:cs="Times New Roman"/>
                <w:lang w:eastAsia="ar-SA"/>
              </w:rPr>
              <w:t>cenas</w:t>
            </w:r>
            <w:r w:rsidR="00283A4B" w:rsidRPr="00455F64">
              <w:rPr>
                <w:rFonts w:ascii="Times New Roman" w:hAnsi="Times New Roman" w:cs="Times New Roman"/>
                <w:lang w:eastAsia="ar-SA"/>
              </w:rPr>
              <w:t xml:space="preserve"> ir vienād</w:t>
            </w:r>
            <w:r w:rsidR="000C06BF">
              <w:rPr>
                <w:rFonts w:ascii="Times New Roman" w:hAnsi="Times New Roman" w:cs="Times New Roman"/>
                <w:lang w:eastAsia="ar-SA"/>
              </w:rPr>
              <w:t>a</w:t>
            </w:r>
            <w:r w:rsidR="00283A4B" w:rsidRPr="00455F64">
              <w:rPr>
                <w:rFonts w:ascii="Times New Roman" w:hAnsi="Times New Roman" w:cs="Times New Roman"/>
                <w:lang w:eastAsia="ar-SA"/>
              </w:rPr>
              <w:t>s, izšķirošais piedāvājuma izvēles kritērijs ir garākais piedāvātais garantijas laiks. Ja arī ši</w:t>
            </w:r>
            <w:r w:rsidR="000C06BF">
              <w:rPr>
                <w:rFonts w:ascii="Times New Roman" w:hAnsi="Times New Roman" w:cs="Times New Roman"/>
                <w:lang w:eastAsia="ar-SA"/>
              </w:rPr>
              <w:t>s kritērijs</w:t>
            </w:r>
            <w:r w:rsidR="00283A4B" w:rsidRPr="00455F64">
              <w:rPr>
                <w:rFonts w:ascii="Times New Roman" w:hAnsi="Times New Roman" w:cs="Times New Roman"/>
                <w:lang w:eastAsia="ar-SA"/>
              </w:rPr>
              <w:t xml:space="preserve"> ir vienāds, uzvarētājs tiek noteikts izlozes kārtībā. Par izlozes norises vietu un laiku tiek informēti visi pretendenti vismaz 3 (</w:t>
            </w:r>
            <w:r w:rsidR="00283A4B" w:rsidRPr="00455F64">
              <w:rPr>
                <w:rFonts w:ascii="Times New Roman" w:hAnsi="Times New Roman" w:cs="Times New Roman"/>
                <w:i/>
                <w:lang w:eastAsia="ar-SA"/>
              </w:rPr>
              <w:t>trīs</w:t>
            </w:r>
            <w:r w:rsidR="00283A4B" w:rsidRPr="00455F64">
              <w:rPr>
                <w:rFonts w:ascii="Times New Roman" w:hAnsi="Times New Roman" w:cs="Times New Roman"/>
                <w:lang w:eastAsia="ar-SA"/>
              </w:rPr>
              <w:t xml:space="preserve">) darba dienas iepriekš. </w:t>
            </w:r>
          </w:p>
        </w:tc>
      </w:tr>
    </w:tbl>
    <w:p w14:paraId="3DF467DC" w14:textId="77777777" w:rsidR="00455F64" w:rsidRDefault="00455F64" w:rsidP="003001BD">
      <w:pPr>
        <w:spacing w:after="0" w:line="240" w:lineRule="auto"/>
        <w:rPr>
          <w:rFonts w:ascii="Times New Roman" w:hAnsi="Times New Roman" w:cs="Times New Roman"/>
          <w:b/>
        </w:rPr>
      </w:pPr>
    </w:p>
    <w:p w14:paraId="400D5365" w14:textId="0B5A2E08" w:rsidR="00025F9E" w:rsidRPr="00A80E7D" w:rsidRDefault="00DC1C16" w:rsidP="00025F9E">
      <w:pPr>
        <w:spacing w:after="0" w:line="240" w:lineRule="auto"/>
        <w:jc w:val="center"/>
        <w:rPr>
          <w:rFonts w:ascii="Times New Roman" w:hAnsi="Times New Roman" w:cs="Times New Roman"/>
          <w:b/>
        </w:rPr>
      </w:pPr>
      <w:r>
        <w:rPr>
          <w:rFonts w:ascii="Times New Roman" w:hAnsi="Times New Roman" w:cs="Times New Roman"/>
          <w:b/>
        </w:rPr>
        <w:t>I</w:t>
      </w:r>
      <w:r w:rsidR="00025F9E" w:rsidRPr="00A80E7D">
        <w:rPr>
          <w:rFonts w:ascii="Times New Roman" w:hAnsi="Times New Roman" w:cs="Times New Roman"/>
          <w:b/>
        </w:rPr>
        <w:t>V SADAĻA</w:t>
      </w:r>
    </w:p>
    <w:p w14:paraId="26350F53" w14:textId="7B215A6B" w:rsidR="00025F9E" w:rsidRDefault="00025F9E" w:rsidP="001F28E8">
      <w:pPr>
        <w:spacing w:after="0" w:line="240" w:lineRule="auto"/>
        <w:jc w:val="center"/>
        <w:rPr>
          <w:rFonts w:ascii="Times New Roman" w:hAnsi="Times New Roman" w:cs="Times New Roman"/>
          <w:b/>
        </w:rPr>
      </w:pPr>
      <w:r w:rsidRPr="00A80E7D">
        <w:rPr>
          <w:rFonts w:ascii="Times New Roman" w:hAnsi="Times New Roman" w:cs="Times New Roman"/>
          <w:b/>
        </w:rPr>
        <w:t>PIELIKUMI</w:t>
      </w:r>
    </w:p>
    <w:p w14:paraId="4BD89A7E" w14:textId="77777777" w:rsidR="004C441E" w:rsidRPr="00A80E7D" w:rsidRDefault="004C441E" w:rsidP="001F28E8">
      <w:pPr>
        <w:spacing w:after="0" w:line="240" w:lineRule="auto"/>
        <w:jc w:val="center"/>
        <w:rPr>
          <w:rFonts w:ascii="Times New Roman" w:hAnsi="Times New Roman" w:cs="Times New Roman"/>
          <w:b/>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A80E7D" w14:paraId="241FBE76" w14:textId="77777777" w:rsidTr="005D3470">
        <w:tc>
          <w:tcPr>
            <w:tcW w:w="1838" w:type="dxa"/>
          </w:tcPr>
          <w:p w14:paraId="5C99BA25" w14:textId="712D7C0A" w:rsidR="00623C37" w:rsidRPr="00A80E7D" w:rsidRDefault="004C4A79" w:rsidP="00623C37">
            <w:pPr>
              <w:rPr>
                <w:rFonts w:ascii="Times New Roman" w:hAnsi="Times New Roman" w:cs="Times New Roman"/>
              </w:rPr>
            </w:pPr>
            <w:r w:rsidRPr="00A80E7D">
              <w:rPr>
                <w:rFonts w:ascii="Times New Roman" w:hAnsi="Times New Roman" w:cs="Times New Roman"/>
                <w:b/>
              </w:rPr>
              <w:t>1.</w:t>
            </w:r>
            <w:r w:rsidR="000C06BF">
              <w:rPr>
                <w:rFonts w:ascii="Times New Roman" w:hAnsi="Times New Roman" w:cs="Times New Roman"/>
                <w:b/>
              </w:rPr>
              <w:t> </w:t>
            </w:r>
            <w:r w:rsidRPr="00A80E7D">
              <w:rPr>
                <w:rFonts w:ascii="Times New Roman" w:hAnsi="Times New Roman" w:cs="Times New Roman"/>
                <w:b/>
              </w:rPr>
              <w:t>pielikums</w:t>
            </w:r>
          </w:p>
        </w:tc>
        <w:tc>
          <w:tcPr>
            <w:tcW w:w="7229" w:type="dxa"/>
          </w:tcPr>
          <w:p w14:paraId="1086F2DD" w14:textId="77777777" w:rsidR="00623C37" w:rsidRPr="00A80E7D" w:rsidRDefault="00623C37" w:rsidP="00597895">
            <w:pPr>
              <w:rPr>
                <w:rFonts w:ascii="Times New Roman" w:hAnsi="Times New Roman" w:cs="Times New Roman"/>
              </w:rPr>
            </w:pPr>
            <w:r w:rsidRPr="00A80E7D">
              <w:rPr>
                <w:rFonts w:ascii="Times New Roman" w:hAnsi="Times New Roman" w:cs="Times New Roman"/>
              </w:rPr>
              <w:t xml:space="preserve">Pieteikuma dalībai </w:t>
            </w:r>
            <w:r w:rsidR="00597895" w:rsidRPr="00A80E7D">
              <w:rPr>
                <w:rFonts w:ascii="Times New Roman" w:hAnsi="Times New Roman" w:cs="Times New Roman"/>
              </w:rPr>
              <w:t>atklātā konkursā</w:t>
            </w:r>
            <w:r w:rsidRPr="00A80E7D">
              <w:rPr>
                <w:rFonts w:ascii="Times New Roman" w:hAnsi="Times New Roman" w:cs="Times New Roman"/>
              </w:rPr>
              <w:t xml:space="preserve"> forma</w:t>
            </w:r>
          </w:p>
        </w:tc>
      </w:tr>
      <w:tr w:rsidR="004C4A79" w:rsidRPr="00A80E7D" w14:paraId="31F085C9" w14:textId="77777777" w:rsidTr="005D3470">
        <w:tc>
          <w:tcPr>
            <w:tcW w:w="1838" w:type="dxa"/>
          </w:tcPr>
          <w:p w14:paraId="70DA74DA" w14:textId="77777777" w:rsidR="004C4A79" w:rsidRPr="00A80E7D" w:rsidRDefault="004C4A79" w:rsidP="00623C37">
            <w:pPr>
              <w:rPr>
                <w:rFonts w:ascii="Times New Roman" w:hAnsi="Times New Roman" w:cs="Times New Roman"/>
                <w:b/>
              </w:rPr>
            </w:pPr>
          </w:p>
        </w:tc>
        <w:tc>
          <w:tcPr>
            <w:tcW w:w="7229" w:type="dxa"/>
          </w:tcPr>
          <w:p w14:paraId="07C1D40C" w14:textId="77777777" w:rsidR="004C4A79" w:rsidRPr="00A80E7D" w:rsidRDefault="004C4A79" w:rsidP="00623C37">
            <w:pPr>
              <w:rPr>
                <w:rFonts w:ascii="Times New Roman" w:hAnsi="Times New Roman" w:cs="Times New Roman"/>
              </w:rPr>
            </w:pPr>
          </w:p>
        </w:tc>
      </w:tr>
      <w:tr w:rsidR="006A19DC" w:rsidRPr="00252B3C" w14:paraId="3E520653" w14:textId="77777777" w:rsidTr="005D3470">
        <w:tc>
          <w:tcPr>
            <w:tcW w:w="1838" w:type="dxa"/>
          </w:tcPr>
          <w:p w14:paraId="4A723B74" w14:textId="79920096" w:rsidR="006A19DC" w:rsidRPr="00A80E7D" w:rsidRDefault="00AE4C1A" w:rsidP="000C06BF">
            <w:pPr>
              <w:rPr>
                <w:rFonts w:ascii="Times New Roman" w:hAnsi="Times New Roman" w:cs="Times New Roman"/>
              </w:rPr>
            </w:pPr>
            <w:r>
              <w:rPr>
                <w:rFonts w:ascii="Times New Roman" w:hAnsi="Times New Roman" w:cs="Times New Roman"/>
                <w:b/>
              </w:rPr>
              <w:t>2</w:t>
            </w:r>
            <w:r w:rsidR="00DC1C16">
              <w:rPr>
                <w:rFonts w:ascii="Times New Roman" w:hAnsi="Times New Roman" w:cs="Times New Roman"/>
                <w:b/>
              </w:rPr>
              <w:t>.</w:t>
            </w:r>
            <w:r w:rsidR="000C06BF">
              <w:rPr>
                <w:rFonts w:ascii="Times New Roman" w:hAnsi="Times New Roman" w:cs="Times New Roman"/>
                <w:b/>
              </w:rPr>
              <w:t> </w:t>
            </w:r>
            <w:r w:rsidR="006A19DC" w:rsidRPr="00A80E7D">
              <w:rPr>
                <w:rFonts w:ascii="Times New Roman" w:hAnsi="Times New Roman" w:cs="Times New Roman"/>
                <w:b/>
              </w:rPr>
              <w:t>pielikums</w:t>
            </w:r>
          </w:p>
        </w:tc>
        <w:tc>
          <w:tcPr>
            <w:tcW w:w="7229" w:type="dxa"/>
          </w:tcPr>
          <w:p w14:paraId="1B5F9E8B" w14:textId="0BE39E9D" w:rsidR="006A19DC" w:rsidRPr="00252B3C" w:rsidRDefault="002B3253" w:rsidP="000C06BF">
            <w:pPr>
              <w:jc w:val="both"/>
              <w:rPr>
                <w:rFonts w:ascii="Times New Roman" w:hAnsi="Times New Roman" w:cs="Times New Roman"/>
              </w:rPr>
            </w:pPr>
            <w:bookmarkStart w:id="0" w:name="_GoBack"/>
            <w:r w:rsidRPr="00252B3C">
              <w:rPr>
                <w:rFonts w:ascii="Times New Roman" w:hAnsi="Times New Roman" w:cs="Times New Roman"/>
                <w:color w:val="000000"/>
                <w:lang w:eastAsia="hi-IN" w:bidi="hi-IN"/>
              </w:rPr>
              <w:t>Tehniskās specifikācijas/</w:t>
            </w:r>
            <w:r w:rsidR="00455F64">
              <w:rPr>
                <w:rFonts w:ascii="Times New Roman" w:hAnsi="Times New Roman" w:cs="Times New Roman"/>
                <w:color w:val="000000"/>
                <w:lang w:eastAsia="hi-IN" w:bidi="hi-IN"/>
              </w:rPr>
              <w:t xml:space="preserve">tehniskā </w:t>
            </w:r>
            <w:r w:rsidR="00F267E5">
              <w:rPr>
                <w:rFonts w:ascii="Times New Roman" w:hAnsi="Times New Roman" w:cs="Times New Roman"/>
                <w:color w:val="000000"/>
                <w:lang w:eastAsia="hi-IN" w:bidi="hi-IN"/>
              </w:rPr>
              <w:t xml:space="preserve">un finanšu </w:t>
            </w:r>
            <w:r w:rsidR="00455F64">
              <w:rPr>
                <w:rFonts w:ascii="Times New Roman" w:hAnsi="Times New Roman" w:cs="Times New Roman"/>
                <w:color w:val="000000"/>
                <w:lang w:eastAsia="hi-IN" w:bidi="hi-IN"/>
              </w:rPr>
              <w:t>piedāvājuma forma</w:t>
            </w:r>
            <w:bookmarkEnd w:id="0"/>
          </w:p>
        </w:tc>
      </w:tr>
      <w:tr w:rsidR="00AE4C1A" w:rsidRPr="00252B3C" w14:paraId="3C7A50DD" w14:textId="77777777" w:rsidTr="005D3470">
        <w:tc>
          <w:tcPr>
            <w:tcW w:w="1838" w:type="dxa"/>
          </w:tcPr>
          <w:p w14:paraId="32385C90" w14:textId="77777777" w:rsidR="00AE4C1A" w:rsidRDefault="00AE4C1A" w:rsidP="005D3470">
            <w:pPr>
              <w:rPr>
                <w:rFonts w:ascii="Times New Roman" w:hAnsi="Times New Roman" w:cs="Times New Roman"/>
                <w:b/>
              </w:rPr>
            </w:pPr>
          </w:p>
        </w:tc>
        <w:tc>
          <w:tcPr>
            <w:tcW w:w="7229" w:type="dxa"/>
          </w:tcPr>
          <w:p w14:paraId="3743BB6F" w14:textId="77777777" w:rsidR="00AE4C1A" w:rsidRPr="00252B3C" w:rsidRDefault="00AE4C1A" w:rsidP="00455F64">
            <w:pPr>
              <w:jc w:val="both"/>
              <w:rPr>
                <w:rFonts w:ascii="Times New Roman" w:hAnsi="Times New Roman" w:cs="Times New Roman"/>
                <w:color w:val="000000"/>
                <w:lang w:eastAsia="hi-IN" w:bidi="hi-IN"/>
              </w:rPr>
            </w:pPr>
          </w:p>
        </w:tc>
      </w:tr>
      <w:tr w:rsidR="00AE4C1A" w:rsidRPr="00252B3C" w14:paraId="7DBA46B9" w14:textId="77777777" w:rsidTr="005D3470">
        <w:tc>
          <w:tcPr>
            <w:tcW w:w="1838" w:type="dxa"/>
          </w:tcPr>
          <w:p w14:paraId="6E462C3F" w14:textId="0BA6BF9D" w:rsidR="00AE4C1A" w:rsidRDefault="00AE4C1A" w:rsidP="00AE4C1A">
            <w:pPr>
              <w:rPr>
                <w:rFonts w:ascii="Times New Roman" w:hAnsi="Times New Roman" w:cs="Times New Roman"/>
                <w:b/>
              </w:rPr>
            </w:pPr>
            <w:r w:rsidRPr="00A80E7D">
              <w:rPr>
                <w:rFonts w:ascii="Times New Roman" w:hAnsi="Times New Roman" w:cs="Times New Roman"/>
                <w:b/>
              </w:rPr>
              <w:t>3.</w:t>
            </w:r>
            <w:r w:rsidR="000C06BF">
              <w:rPr>
                <w:rFonts w:ascii="Times New Roman" w:hAnsi="Times New Roman" w:cs="Times New Roman"/>
                <w:b/>
              </w:rPr>
              <w:t> </w:t>
            </w:r>
            <w:r w:rsidRPr="00A80E7D">
              <w:rPr>
                <w:rFonts w:ascii="Times New Roman" w:hAnsi="Times New Roman" w:cs="Times New Roman"/>
                <w:b/>
              </w:rPr>
              <w:t>pielikums</w:t>
            </w:r>
          </w:p>
        </w:tc>
        <w:tc>
          <w:tcPr>
            <w:tcW w:w="7229" w:type="dxa"/>
          </w:tcPr>
          <w:p w14:paraId="151C6779" w14:textId="1619B1E0" w:rsidR="00AE4C1A" w:rsidRPr="00252B3C" w:rsidRDefault="00AE4C1A" w:rsidP="00AE4C1A">
            <w:pPr>
              <w:jc w:val="both"/>
              <w:rPr>
                <w:rFonts w:ascii="Times New Roman" w:hAnsi="Times New Roman" w:cs="Times New Roman"/>
                <w:color w:val="000000"/>
                <w:lang w:eastAsia="hi-IN" w:bidi="hi-IN"/>
              </w:rPr>
            </w:pPr>
            <w:r w:rsidRPr="00A80E7D">
              <w:rPr>
                <w:rFonts w:ascii="Times New Roman" w:hAnsi="Times New Roman" w:cs="Times New Roman"/>
              </w:rPr>
              <w:t>Informācijas par iepriekšējo pieredzi forma</w:t>
            </w:r>
          </w:p>
        </w:tc>
      </w:tr>
      <w:tr w:rsidR="00AE4C1A" w:rsidRPr="00A80E7D" w14:paraId="0FCE3B84" w14:textId="77777777" w:rsidTr="005D3470">
        <w:tc>
          <w:tcPr>
            <w:tcW w:w="1838" w:type="dxa"/>
          </w:tcPr>
          <w:p w14:paraId="6BC97118" w14:textId="77777777" w:rsidR="00AE4C1A" w:rsidRPr="00A80E7D" w:rsidRDefault="00AE4C1A" w:rsidP="00AE4C1A">
            <w:pPr>
              <w:rPr>
                <w:rFonts w:ascii="Times New Roman" w:hAnsi="Times New Roman" w:cs="Times New Roman"/>
                <w:b/>
              </w:rPr>
            </w:pPr>
          </w:p>
        </w:tc>
        <w:tc>
          <w:tcPr>
            <w:tcW w:w="7229" w:type="dxa"/>
          </w:tcPr>
          <w:p w14:paraId="2A04A8D8" w14:textId="77777777" w:rsidR="00AE4C1A" w:rsidRPr="00062BE2" w:rsidRDefault="00AE4C1A" w:rsidP="00AE4C1A">
            <w:pPr>
              <w:rPr>
                <w:rFonts w:ascii="Times New Roman" w:hAnsi="Times New Roman" w:cs="Times New Roman"/>
              </w:rPr>
            </w:pPr>
          </w:p>
        </w:tc>
      </w:tr>
      <w:tr w:rsidR="00AE4C1A" w:rsidRPr="00A80E7D" w14:paraId="69160F53" w14:textId="77777777" w:rsidTr="005D3470">
        <w:tc>
          <w:tcPr>
            <w:tcW w:w="1838" w:type="dxa"/>
          </w:tcPr>
          <w:p w14:paraId="1AF34E74" w14:textId="1711A468" w:rsidR="00AE4C1A" w:rsidRPr="00A80E7D" w:rsidRDefault="00AE4C1A" w:rsidP="00AE4C1A">
            <w:pPr>
              <w:rPr>
                <w:rFonts w:ascii="Times New Roman" w:hAnsi="Times New Roman" w:cs="Times New Roman"/>
                <w:b/>
              </w:rPr>
            </w:pPr>
            <w:r>
              <w:rPr>
                <w:rFonts w:ascii="Times New Roman" w:hAnsi="Times New Roman" w:cs="Times New Roman"/>
                <w:b/>
              </w:rPr>
              <w:t>4</w:t>
            </w:r>
            <w:r w:rsidRPr="00A80E7D">
              <w:rPr>
                <w:rFonts w:ascii="Times New Roman" w:hAnsi="Times New Roman" w:cs="Times New Roman"/>
                <w:b/>
              </w:rPr>
              <w:t>.</w:t>
            </w:r>
            <w:r w:rsidR="000C06BF">
              <w:rPr>
                <w:rFonts w:ascii="Times New Roman" w:hAnsi="Times New Roman" w:cs="Times New Roman"/>
                <w:b/>
              </w:rPr>
              <w:t> </w:t>
            </w:r>
            <w:r w:rsidRPr="00A80E7D">
              <w:rPr>
                <w:rFonts w:ascii="Times New Roman" w:hAnsi="Times New Roman" w:cs="Times New Roman"/>
                <w:b/>
              </w:rPr>
              <w:t>pielikums</w:t>
            </w:r>
          </w:p>
        </w:tc>
        <w:tc>
          <w:tcPr>
            <w:tcW w:w="7229" w:type="dxa"/>
          </w:tcPr>
          <w:p w14:paraId="0315742A" w14:textId="533A4BA0" w:rsidR="00AE4C1A" w:rsidRPr="00A80E7D" w:rsidRDefault="00AE4C1A" w:rsidP="00AE4C1A">
            <w:pPr>
              <w:rPr>
                <w:rFonts w:ascii="Times New Roman" w:hAnsi="Times New Roman" w:cs="Times New Roman"/>
              </w:rPr>
            </w:pPr>
            <w:r w:rsidRPr="00A80E7D">
              <w:rPr>
                <w:rFonts w:ascii="Times New Roman" w:hAnsi="Times New Roman" w:cs="Times New Roman"/>
              </w:rPr>
              <w:t>Prasības piedāvājuma noformēšanai</w:t>
            </w:r>
            <w:r>
              <w:rPr>
                <w:rFonts w:ascii="Times New Roman" w:hAnsi="Times New Roman" w:cs="Times New Roman"/>
              </w:rPr>
              <w:t xml:space="preserve"> un iesniegšanai</w:t>
            </w:r>
          </w:p>
        </w:tc>
      </w:tr>
      <w:tr w:rsidR="00AE4C1A" w:rsidRPr="00A80E7D" w14:paraId="267C74E8" w14:textId="77777777" w:rsidTr="005D3470">
        <w:tc>
          <w:tcPr>
            <w:tcW w:w="1838" w:type="dxa"/>
          </w:tcPr>
          <w:p w14:paraId="62062135" w14:textId="77777777" w:rsidR="00AE4C1A" w:rsidRPr="00A80E7D" w:rsidRDefault="00AE4C1A" w:rsidP="00AE4C1A">
            <w:pPr>
              <w:rPr>
                <w:rFonts w:ascii="Times New Roman" w:hAnsi="Times New Roman" w:cs="Times New Roman"/>
                <w:b/>
              </w:rPr>
            </w:pPr>
          </w:p>
        </w:tc>
        <w:tc>
          <w:tcPr>
            <w:tcW w:w="7229" w:type="dxa"/>
          </w:tcPr>
          <w:p w14:paraId="2034D92E" w14:textId="77777777" w:rsidR="00AE4C1A" w:rsidRPr="00A80E7D" w:rsidRDefault="00AE4C1A" w:rsidP="00AE4C1A">
            <w:pPr>
              <w:rPr>
                <w:rFonts w:ascii="Times New Roman" w:hAnsi="Times New Roman" w:cs="Times New Roman"/>
              </w:rPr>
            </w:pPr>
          </w:p>
        </w:tc>
      </w:tr>
      <w:tr w:rsidR="00AE4C1A" w:rsidRPr="00A80E7D" w14:paraId="33C50AE2" w14:textId="77777777" w:rsidTr="005D3470">
        <w:tc>
          <w:tcPr>
            <w:tcW w:w="1838" w:type="dxa"/>
          </w:tcPr>
          <w:p w14:paraId="3297660C" w14:textId="1ADCF05E" w:rsidR="00AE4C1A" w:rsidRPr="00A80E7D" w:rsidRDefault="00AE4C1A" w:rsidP="00AE4C1A">
            <w:pPr>
              <w:rPr>
                <w:rFonts w:ascii="Times New Roman" w:hAnsi="Times New Roman" w:cs="Times New Roman"/>
                <w:b/>
              </w:rPr>
            </w:pPr>
            <w:r>
              <w:rPr>
                <w:rFonts w:ascii="Times New Roman" w:hAnsi="Times New Roman" w:cs="Times New Roman"/>
                <w:b/>
              </w:rPr>
              <w:t>5</w:t>
            </w:r>
            <w:r w:rsidRPr="00A80E7D">
              <w:rPr>
                <w:rFonts w:ascii="Times New Roman" w:hAnsi="Times New Roman" w:cs="Times New Roman"/>
                <w:b/>
              </w:rPr>
              <w:t>.</w:t>
            </w:r>
            <w:r w:rsidR="000C06BF">
              <w:rPr>
                <w:rFonts w:ascii="Times New Roman" w:hAnsi="Times New Roman" w:cs="Times New Roman"/>
                <w:b/>
              </w:rPr>
              <w:t> </w:t>
            </w:r>
            <w:r w:rsidRPr="00A80E7D">
              <w:rPr>
                <w:rFonts w:ascii="Times New Roman" w:hAnsi="Times New Roman" w:cs="Times New Roman"/>
                <w:b/>
              </w:rPr>
              <w:t>pielikums</w:t>
            </w:r>
          </w:p>
        </w:tc>
        <w:tc>
          <w:tcPr>
            <w:tcW w:w="7229" w:type="dxa"/>
          </w:tcPr>
          <w:p w14:paraId="7532AA88" w14:textId="230F02D2" w:rsidR="00AE4C1A" w:rsidRPr="00A80E7D" w:rsidRDefault="00AE4C1A" w:rsidP="00AE4C1A">
            <w:pPr>
              <w:rPr>
                <w:rFonts w:ascii="Times New Roman" w:hAnsi="Times New Roman" w:cs="Times New Roman"/>
              </w:rPr>
            </w:pPr>
            <w:r w:rsidRPr="00A80E7D">
              <w:rPr>
                <w:rFonts w:ascii="Times New Roman" w:hAnsi="Times New Roman" w:cs="Times New Roman"/>
              </w:rPr>
              <w:t>Vērtēšanas nosacījumi</w:t>
            </w:r>
          </w:p>
        </w:tc>
      </w:tr>
      <w:tr w:rsidR="00AE4C1A" w:rsidRPr="00A80E7D" w14:paraId="4B2B4356" w14:textId="77777777" w:rsidTr="005D3470">
        <w:tc>
          <w:tcPr>
            <w:tcW w:w="1838" w:type="dxa"/>
          </w:tcPr>
          <w:p w14:paraId="40E5C8A2" w14:textId="77777777" w:rsidR="00AE4C1A" w:rsidRPr="00A80E7D" w:rsidRDefault="00AE4C1A" w:rsidP="00AE4C1A">
            <w:pPr>
              <w:rPr>
                <w:rFonts w:ascii="Times New Roman" w:hAnsi="Times New Roman" w:cs="Times New Roman"/>
                <w:b/>
              </w:rPr>
            </w:pPr>
          </w:p>
        </w:tc>
        <w:tc>
          <w:tcPr>
            <w:tcW w:w="7229" w:type="dxa"/>
          </w:tcPr>
          <w:p w14:paraId="4A4EC6BE" w14:textId="77777777" w:rsidR="00AE4C1A" w:rsidRPr="00A80E7D" w:rsidRDefault="00AE4C1A" w:rsidP="00AE4C1A">
            <w:pPr>
              <w:rPr>
                <w:rFonts w:ascii="Times New Roman" w:hAnsi="Times New Roman" w:cs="Times New Roman"/>
              </w:rPr>
            </w:pPr>
          </w:p>
        </w:tc>
      </w:tr>
      <w:tr w:rsidR="00AE4C1A" w:rsidRPr="00A80E7D" w14:paraId="406DED84" w14:textId="77777777" w:rsidTr="005D3470">
        <w:tc>
          <w:tcPr>
            <w:tcW w:w="1838" w:type="dxa"/>
          </w:tcPr>
          <w:p w14:paraId="57AF7E9B" w14:textId="28FDFDAC" w:rsidR="00AE4C1A" w:rsidRPr="00A80E7D" w:rsidRDefault="00AE4C1A" w:rsidP="00AE4C1A">
            <w:pPr>
              <w:rPr>
                <w:rFonts w:ascii="Times New Roman" w:hAnsi="Times New Roman" w:cs="Times New Roman"/>
                <w:b/>
              </w:rPr>
            </w:pPr>
            <w:r>
              <w:rPr>
                <w:rFonts w:ascii="Times New Roman" w:hAnsi="Times New Roman" w:cs="Times New Roman"/>
                <w:b/>
              </w:rPr>
              <w:t>6</w:t>
            </w:r>
            <w:r w:rsidRPr="00A80E7D">
              <w:rPr>
                <w:rFonts w:ascii="Times New Roman" w:hAnsi="Times New Roman" w:cs="Times New Roman"/>
                <w:b/>
              </w:rPr>
              <w:t>.</w:t>
            </w:r>
            <w:r w:rsidR="000C06BF">
              <w:rPr>
                <w:rFonts w:ascii="Times New Roman" w:hAnsi="Times New Roman" w:cs="Times New Roman"/>
                <w:b/>
              </w:rPr>
              <w:t> </w:t>
            </w:r>
            <w:r w:rsidRPr="00A80E7D">
              <w:rPr>
                <w:rFonts w:ascii="Times New Roman" w:hAnsi="Times New Roman" w:cs="Times New Roman"/>
                <w:b/>
              </w:rPr>
              <w:t>pielikums</w:t>
            </w:r>
          </w:p>
        </w:tc>
        <w:tc>
          <w:tcPr>
            <w:tcW w:w="7229" w:type="dxa"/>
          </w:tcPr>
          <w:p w14:paraId="0298F14E" w14:textId="448C1FC4" w:rsidR="00AE4C1A" w:rsidRPr="00A80E7D" w:rsidRDefault="00AE4C1A" w:rsidP="00AE4C1A">
            <w:pPr>
              <w:rPr>
                <w:rFonts w:ascii="Times New Roman" w:hAnsi="Times New Roman" w:cs="Times New Roman"/>
              </w:rPr>
            </w:pPr>
            <w:r>
              <w:rPr>
                <w:rFonts w:ascii="Times New Roman" w:hAnsi="Times New Roman" w:cs="Times New Roman"/>
              </w:rPr>
              <w:t>Līgumprojekts</w:t>
            </w:r>
          </w:p>
        </w:tc>
      </w:tr>
    </w:tbl>
    <w:p w14:paraId="31AFC417" w14:textId="76A0550D" w:rsidR="008719D1" w:rsidRDefault="008719D1" w:rsidP="003001BD">
      <w:pPr>
        <w:rPr>
          <w:rFonts w:ascii="Times New Roman" w:eastAsia="Times New Roman" w:hAnsi="Times New Roman" w:cs="Times New Roman"/>
          <w:lang w:eastAsia="ar-SA"/>
        </w:rPr>
      </w:pPr>
    </w:p>
    <w:sectPr w:rsidR="008719D1" w:rsidSect="00852988">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40DA2" w14:textId="77777777" w:rsidR="003C56B4" w:rsidRDefault="003C56B4" w:rsidP="00852988">
      <w:pPr>
        <w:spacing w:after="0" w:line="240" w:lineRule="auto"/>
      </w:pPr>
      <w:r>
        <w:separator/>
      </w:r>
    </w:p>
  </w:endnote>
  <w:endnote w:type="continuationSeparator" w:id="0">
    <w:p w14:paraId="188A8F7D" w14:textId="77777777" w:rsidR="003C56B4" w:rsidRDefault="003C56B4"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MT">
    <w:altName w:val="Arial"/>
    <w:charset w:val="00"/>
    <w:family w:val="swiss"/>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613626"/>
      <w:docPartObj>
        <w:docPartGallery w:val="Page Numbers (Bottom of Page)"/>
        <w:docPartUnique/>
      </w:docPartObj>
    </w:sdtPr>
    <w:sdtEndPr>
      <w:rPr>
        <w:rFonts w:ascii="Times New Roman" w:hAnsi="Times New Roman" w:cs="Times New Roman"/>
        <w:noProof/>
        <w:sz w:val="20"/>
        <w:szCs w:val="20"/>
      </w:rPr>
    </w:sdtEndPr>
    <w:sdtContent>
      <w:p w14:paraId="3040A853" w14:textId="1952282F" w:rsidR="00C744C9" w:rsidRPr="00F015B1" w:rsidRDefault="00C744C9">
        <w:pPr>
          <w:pStyle w:val="Footer"/>
          <w:jc w:val="right"/>
          <w:rPr>
            <w:rFonts w:ascii="Times New Roman" w:hAnsi="Times New Roman" w:cs="Times New Roman"/>
            <w:sz w:val="20"/>
            <w:szCs w:val="20"/>
          </w:rPr>
        </w:pPr>
        <w:r w:rsidRPr="00F015B1">
          <w:rPr>
            <w:rFonts w:ascii="Times New Roman" w:hAnsi="Times New Roman" w:cs="Times New Roman"/>
            <w:sz w:val="20"/>
            <w:szCs w:val="20"/>
          </w:rPr>
          <w:fldChar w:fldCharType="begin"/>
        </w:r>
        <w:r w:rsidRPr="00F015B1">
          <w:rPr>
            <w:rFonts w:ascii="Times New Roman" w:hAnsi="Times New Roman" w:cs="Times New Roman"/>
            <w:sz w:val="20"/>
            <w:szCs w:val="20"/>
          </w:rPr>
          <w:instrText xml:space="preserve"> PAGE   \* MERGEFORMAT </w:instrText>
        </w:r>
        <w:r w:rsidRPr="00F015B1">
          <w:rPr>
            <w:rFonts w:ascii="Times New Roman" w:hAnsi="Times New Roman" w:cs="Times New Roman"/>
            <w:sz w:val="20"/>
            <w:szCs w:val="20"/>
          </w:rPr>
          <w:fldChar w:fldCharType="separate"/>
        </w:r>
        <w:r w:rsidR="00EE4F84">
          <w:rPr>
            <w:rFonts w:ascii="Times New Roman" w:hAnsi="Times New Roman" w:cs="Times New Roman"/>
            <w:noProof/>
            <w:sz w:val="20"/>
            <w:szCs w:val="20"/>
          </w:rPr>
          <w:t>4</w:t>
        </w:r>
        <w:r w:rsidRPr="00F015B1">
          <w:rPr>
            <w:rFonts w:ascii="Times New Roman" w:hAnsi="Times New Roman" w:cs="Times New Roman"/>
            <w:noProof/>
            <w:sz w:val="20"/>
            <w:szCs w:val="20"/>
          </w:rPr>
          <w:fldChar w:fldCharType="end"/>
        </w:r>
      </w:p>
    </w:sdtContent>
  </w:sdt>
  <w:p w14:paraId="48ED53DE" w14:textId="77777777" w:rsidR="00C744C9" w:rsidRPr="005772D9" w:rsidRDefault="00C744C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B57BE" w14:textId="77777777" w:rsidR="003C56B4" w:rsidRDefault="003C56B4" w:rsidP="00852988">
      <w:pPr>
        <w:spacing w:after="0" w:line="240" w:lineRule="auto"/>
      </w:pPr>
      <w:r>
        <w:separator/>
      </w:r>
    </w:p>
  </w:footnote>
  <w:footnote w:type="continuationSeparator" w:id="0">
    <w:p w14:paraId="489B5796" w14:textId="77777777" w:rsidR="003C56B4" w:rsidRDefault="003C56B4" w:rsidP="00852988">
      <w:pPr>
        <w:spacing w:after="0" w:line="240" w:lineRule="auto"/>
      </w:pPr>
      <w:r>
        <w:continuationSeparator/>
      </w:r>
    </w:p>
  </w:footnote>
  <w:footnote w:id="1">
    <w:p w14:paraId="0FBA3CAF" w14:textId="77777777" w:rsidR="00C744C9" w:rsidRPr="004B7ABA" w:rsidRDefault="00C744C9" w:rsidP="00852988">
      <w:pPr>
        <w:pStyle w:val="FootnoteText"/>
        <w:rPr>
          <w:i/>
          <w:sz w:val="18"/>
          <w:szCs w:val="18"/>
        </w:rPr>
      </w:pPr>
      <w:r w:rsidRPr="007E5F89">
        <w:rPr>
          <w:rStyle w:val="FootnoteReference"/>
        </w:rPr>
        <w:footnoteRef/>
      </w:r>
      <w:r w:rsidRPr="007E5F89">
        <w:t xml:space="preserve"> </w:t>
      </w:r>
      <w:r w:rsidRPr="004B7ABA">
        <w:rPr>
          <w:i/>
          <w:sz w:val="18"/>
          <w:szCs w:val="18"/>
        </w:rPr>
        <w:t xml:space="preserve">Publisko iepirkumu likums, skatīt: </w:t>
      </w:r>
      <w:hyperlink r:id="rId1" w:history="1">
        <w:r w:rsidRPr="004B7ABA">
          <w:rPr>
            <w:rStyle w:val="Hyperlink"/>
            <w:i/>
            <w:sz w:val="18"/>
            <w:szCs w:val="18"/>
          </w:rPr>
          <w:t>https://likumi.lv/doc.php?id=287760</w:t>
        </w:r>
      </w:hyperlink>
      <w:r w:rsidRPr="004B7ABA">
        <w:rPr>
          <w:i/>
          <w:sz w:val="18"/>
          <w:szCs w:val="18"/>
        </w:rPr>
        <w:t xml:space="preserve"> </w:t>
      </w:r>
    </w:p>
  </w:footnote>
  <w:footnote w:id="2">
    <w:p w14:paraId="2FF17589" w14:textId="77777777" w:rsidR="00987638" w:rsidRPr="004B7ABA" w:rsidRDefault="00987638" w:rsidP="00987638">
      <w:pPr>
        <w:pStyle w:val="FootnoteText"/>
        <w:rPr>
          <w:i/>
          <w:sz w:val="18"/>
          <w:szCs w:val="18"/>
        </w:rPr>
      </w:pPr>
      <w:r w:rsidRPr="004B7ABA">
        <w:rPr>
          <w:rStyle w:val="FootnoteReference"/>
          <w:i/>
          <w:sz w:val="18"/>
          <w:szCs w:val="18"/>
        </w:rPr>
        <w:footnoteRef/>
      </w:r>
      <w:r w:rsidRPr="004B7ABA">
        <w:rPr>
          <w:i/>
          <w:sz w:val="18"/>
          <w:szCs w:val="18"/>
        </w:rPr>
        <w:t xml:space="preserve"> Ministru kabineta 2017.gada 28.februāra noteikumi Nr.107, skatīt: </w:t>
      </w:r>
      <w:hyperlink r:id="rId2" w:history="1">
        <w:r w:rsidRPr="004B7ABA">
          <w:rPr>
            <w:rStyle w:val="Hyperlink"/>
            <w:i/>
            <w:sz w:val="18"/>
            <w:szCs w:val="18"/>
          </w:rPr>
          <w:t>https://likumi.lv/ta/id/289086-iepirkuma-proceduru-un-metu-konkursu-norises-kartiba</w:t>
        </w:r>
      </w:hyperlink>
      <w:r w:rsidRPr="004B7ABA">
        <w:rPr>
          <w:i/>
          <w:sz w:val="18"/>
          <w:szCs w:val="18"/>
        </w:rPr>
        <w:t xml:space="preserve"> </w:t>
      </w:r>
    </w:p>
  </w:footnote>
  <w:footnote w:id="3">
    <w:p w14:paraId="2DADE8BC" w14:textId="55889962" w:rsidR="00C744C9" w:rsidRPr="004B7ABA" w:rsidRDefault="00C744C9" w:rsidP="00441F03">
      <w:pPr>
        <w:pStyle w:val="NoSpacing"/>
        <w:jc w:val="both"/>
        <w:rPr>
          <w:i/>
          <w:sz w:val="18"/>
          <w:szCs w:val="18"/>
        </w:rPr>
      </w:pPr>
      <w:r>
        <w:rPr>
          <w:rStyle w:val="FootnoteReference"/>
        </w:rPr>
        <w:footnoteRef/>
      </w:r>
      <w:r>
        <w:t xml:space="preserve"> </w:t>
      </w:r>
      <w:r w:rsidRPr="004B7ABA">
        <w:rPr>
          <w:i/>
          <w:sz w:val="18"/>
          <w:szCs w:val="18"/>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4">
    <w:p w14:paraId="00C4A64D" w14:textId="77777777" w:rsidR="006F0FDD" w:rsidRPr="003553C0" w:rsidRDefault="006F0FDD" w:rsidP="008731E9">
      <w:pPr>
        <w:pStyle w:val="NoSpacing"/>
        <w:jc w:val="both"/>
        <w:rPr>
          <w:i/>
          <w:sz w:val="18"/>
          <w:szCs w:val="18"/>
        </w:rPr>
      </w:pPr>
      <w:r>
        <w:rPr>
          <w:rStyle w:val="FootnoteReference"/>
        </w:rPr>
        <w:footnoteRef/>
      </w:r>
      <w:r>
        <w:t xml:space="preserve"> </w:t>
      </w:r>
      <w:r w:rsidRPr="003553C0">
        <w:rPr>
          <w:i/>
          <w:sz w:val="18"/>
          <w:szCs w:val="18"/>
        </w:rPr>
        <w:t xml:space="preserve">Publisko iepirkumu likuma (turpmāk - PIL) izpratnē apakšuzņēmējs ir pretendenta nolīgta persona vai savukārt tās nolīgta persona, kura veic būvdarbus vai sniedz pakalpojumus iepirkuma līguma izpildei. </w:t>
      </w:r>
    </w:p>
    <w:p w14:paraId="132C82C3" w14:textId="77777777" w:rsidR="006F0FDD" w:rsidRPr="003553C0" w:rsidRDefault="006F0FDD" w:rsidP="008731E9">
      <w:pPr>
        <w:pStyle w:val="FootnoteText"/>
        <w:rPr>
          <w:sz w:val="18"/>
          <w:szCs w:val="18"/>
        </w:rPr>
      </w:pPr>
      <w:r w:rsidRPr="003553C0">
        <w:rPr>
          <w:i/>
          <w:sz w:val="18"/>
          <w:szCs w:val="18"/>
        </w:rPr>
        <w:t>Apakšuzņēmēja veicamo būvdarbu vai sniedzamo pakalpojumu kopējo vērtību noteic saskaņā ar PIL 63.panta trešo daļu.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07"/>
    <w:multiLevelType w:val="multilevel"/>
    <w:tmpl w:val="BB66AE9E"/>
    <w:name w:val="WW8Num1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6" w15:restartNumberingAfterBreak="0">
    <w:nsid w:val="02162B86"/>
    <w:multiLevelType w:val="hybridMultilevel"/>
    <w:tmpl w:val="EB828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6BD3761"/>
    <w:multiLevelType w:val="multilevel"/>
    <w:tmpl w:val="FC000F14"/>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color w:val="auto"/>
        <w:sz w:val="22"/>
        <w:szCs w:val="22"/>
      </w:rPr>
    </w:lvl>
    <w:lvl w:ilvl="2">
      <w:start w:val="1"/>
      <w:numFmt w:val="decimal"/>
      <w:isLgl/>
      <w:lvlText w:val="%1.%2.%3."/>
      <w:lvlJc w:val="left"/>
      <w:pPr>
        <w:tabs>
          <w:tab w:val="num" w:pos="1080"/>
        </w:tabs>
        <w:ind w:left="1080" w:hanging="720"/>
      </w:pPr>
      <w:rPr>
        <w:rFonts w:hint="default"/>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9930D50"/>
    <w:multiLevelType w:val="multilevel"/>
    <w:tmpl w:val="F57C5D6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auto"/>
      </w:r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A424506"/>
    <w:multiLevelType w:val="multilevel"/>
    <w:tmpl w:val="FA5E6C6E"/>
    <w:lvl w:ilvl="0">
      <w:start w:val="1"/>
      <w:numFmt w:val="decimal"/>
      <w:lvlText w:val="%1."/>
      <w:lvlJc w:val="left"/>
      <w:pPr>
        <w:ind w:left="720" w:hanging="360"/>
      </w:pPr>
      <w:rPr>
        <w:rFonts w:hint="default"/>
      </w:rPr>
    </w:lvl>
    <w:lvl w:ilvl="1">
      <w:start w:val="1"/>
      <w:numFmt w:val="decimal"/>
      <w:isLgl/>
      <w:lvlText w:val="%1.%2."/>
      <w:lvlJc w:val="left"/>
      <w:pPr>
        <w:ind w:left="801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BCE1C62"/>
    <w:multiLevelType w:val="multilevel"/>
    <w:tmpl w:val="F86E283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211EE6"/>
    <w:multiLevelType w:val="multilevel"/>
    <w:tmpl w:val="45F407FE"/>
    <w:lvl w:ilvl="0">
      <w:start w:val="1"/>
      <w:numFmt w:val="decimal"/>
      <w:lvlText w:val="%1."/>
      <w:lvlJc w:val="left"/>
      <w:pPr>
        <w:ind w:left="480" w:hanging="480"/>
      </w:pPr>
      <w:rPr>
        <w:rFonts w:hint="default"/>
      </w:rPr>
    </w:lvl>
    <w:lvl w:ilvl="1">
      <w:start w:val="12"/>
      <w:numFmt w:val="decimal"/>
      <w:lvlText w:val="%1.%2."/>
      <w:lvlJc w:val="left"/>
      <w:pPr>
        <w:ind w:left="3720" w:hanging="48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13" w15:restartNumberingAfterBreak="0">
    <w:nsid w:val="14373A09"/>
    <w:multiLevelType w:val="hybridMultilevel"/>
    <w:tmpl w:val="444ECEF8"/>
    <w:lvl w:ilvl="0" w:tplc="73DC517A">
      <w:start w:val="1"/>
      <w:numFmt w:val="lowerLetter"/>
      <w:lvlText w:val="%1)"/>
      <w:lvlJc w:val="left"/>
      <w:pPr>
        <w:ind w:left="945" w:hanging="58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AA679A6"/>
    <w:multiLevelType w:val="multilevel"/>
    <w:tmpl w:val="7242BD14"/>
    <w:lvl w:ilvl="0">
      <w:start w:val="4"/>
      <w:numFmt w:val="decimal"/>
      <w:lvlText w:val="%1."/>
      <w:lvlJc w:val="left"/>
      <w:pPr>
        <w:ind w:left="360" w:hanging="360"/>
      </w:pPr>
      <w:rPr>
        <w:rFonts w:eastAsia="ArialMT" w:hint="default"/>
        <w:sz w:val="24"/>
      </w:rPr>
    </w:lvl>
    <w:lvl w:ilvl="1">
      <w:start w:val="3"/>
      <w:numFmt w:val="decimal"/>
      <w:lvlText w:val="%1.%2."/>
      <w:lvlJc w:val="left"/>
      <w:pPr>
        <w:ind w:left="360" w:hanging="360"/>
      </w:pPr>
      <w:rPr>
        <w:rFonts w:eastAsia="ArialMT" w:hint="default"/>
        <w:b w:val="0"/>
        <w:sz w:val="24"/>
      </w:rPr>
    </w:lvl>
    <w:lvl w:ilvl="2">
      <w:start w:val="1"/>
      <w:numFmt w:val="decimal"/>
      <w:lvlText w:val="%1.%2.%3."/>
      <w:lvlJc w:val="left"/>
      <w:pPr>
        <w:ind w:left="720" w:hanging="720"/>
      </w:pPr>
      <w:rPr>
        <w:rFonts w:eastAsia="ArialMT" w:hint="default"/>
        <w:sz w:val="24"/>
      </w:rPr>
    </w:lvl>
    <w:lvl w:ilvl="3">
      <w:start w:val="1"/>
      <w:numFmt w:val="decimal"/>
      <w:lvlText w:val="%1.%2.%3.%4."/>
      <w:lvlJc w:val="left"/>
      <w:pPr>
        <w:ind w:left="720" w:hanging="720"/>
      </w:pPr>
      <w:rPr>
        <w:rFonts w:eastAsia="ArialMT" w:hint="default"/>
        <w:sz w:val="24"/>
      </w:rPr>
    </w:lvl>
    <w:lvl w:ilvl="4">
      <w:start w:val="1"/>
      <w:numFmt w:val="decimal"/>
      <w:lvlText w:val="%1.%2.%3.%4.%5."/>
      <w:lvlJc w:val="left"/>
      <w:pPr>
        <w:ind w:left="1080" w:hanging="1080"/>
      </w:pPr>
      <w:rPr>
        <w:rFonts w:eastAsia="ArialMT" w:hint="default"/>
        <w:sz w:val="24"/>
      </w:rPr>
    </w:lvl>
    <w:lvl w:ilvl="5">
      <w:start w:val="1"/>
      <w:numFmt w:val="decimal"/>
      <w:lvlText w:val="%1.%2.%3.%4.%5.%6."/>
      <w:lvlJc w:val="left"/>
      <w:pPr>
        <w:ind w:left="1080" w:hanging="1080"/>
      </w:pPr>
      <w:rPr>
        <w:rFonts w:eastAsia="ArialMT" w:hint="default"/>
        <w:sz w:val="24"/>
      </w:rPr>
    </w:lvl>
    <w:lvl w:ilvl="6">
      <w:start w:val="1"/>
      <w:numFmt w:val="decimal"/>
      <w:lvlText w:val="%1.%2.%3.%4.%5.%6.%7."/>
      <w:lvlJc w:val="left"/>
      <w:pPr>
        <w:ind w:left="1440" w:hanging="1440"/>
      </w:pPr>
      <w:rPr>
        <w:rFonts w:eastAsia="ArialMT" w:hint="default"/>
        <w:sz w:val="24"/>
      </w:rPr>
    </w:lvl>
    <w:lvl w:ilvl="7">
      <w:start w:val="1"/>
      <w:numFmt w:val="decimal"/>
      <w:lvlText w:val="%1.%2.%3.%4.%5.%6.%7.%8."/>
      <w:lvlJc w:val="left"/>
      <w:pPr>
        <w:ind w:left="1440" w:hanging="1440"/>
      </w:pPr>
      <w:rPr>
        <w:rFonts w:eastAsia="ArialMT" w:hint="default"/>
        <w:sz w:val="24"/>
      </w:rPr>
    </w:lvl>
    <w:lvl w:ilvl="8">
      <w:start w:val="1"/>
      <w:numFmt w:val="decimal"/>
      <w:lvlText w:val="%1.%2.%3.%4.%5.%6.%7.%8.%9."/>
      <w:lvlJc w:val="left"/>
      <w:pPr>
        <w:ind w:left="1800" w:hanging="1800"/>
      </w:pPr>
      <w:rPr>
        <w:rFonts w:eastAsia="ArialMT" w:hint="default"/>
        <w:sz w:val="24"/>
      </w:rPr>
    </w:lvl>
  </w:abstractNum>
  <w:abstractNum w:abstractNumId="15"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C84BC5"/>
    <w:multiLevelType w:val="multilevel"/>
    <w:tmpl w:val="131454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0A0EFC"/>
    <w:multiLevelType w:val="hybridMultilevel"/>
    <w:tmpl w:val="B8447A9C"/>
    <w:lvl w:ilvl="0" w:tplc="0426000F">
      <w:start w:val="1"/>
      <w:numFmt w:val="decimal"/>
      <w:lvlText w:val="%1."/>
      <w:lvlJc w:val="left"/>
      <w:pPr>
        <w:ind w:left="720" w:hanging="360"/>
      </w:pPr>
      <w:rPr>
        <w:rFonts w:hint="default"/>
      </w:rPr>
    </w:lvl>
    <w:lvl w:ilvl="1" w:tplc="138680F2">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AFB1409"/>
    <w:multiLevelType w:val="multilevel"/>
    <w:tmpl w:val="8C6C7DD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C476089"/>
    <w:multiLevelType w:val="hybridMultilevel"/>
    <w:tmpl w:val="5322A4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F934E42"/>
    <w:multiLevelType w:val="hybridMultilevel"/>
    <w:tmpl w:val="F4A2933E"/>
    <w:lvl w:ilvl="0" w:tplc="35185DEA">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33365D2"/>
    <w:multiLevelType w:val="multilevel"/>
    <w:tmpl w:val="E93C5034"/>
    <w:lvl w:ilvl="0">
      <w:start w:val="1"/>
      <w:numFmt w:val="decimal"/>
      <w:lvlText w:val="%1."/>
      <w:lvlJc w:val="left"/>
      <w:pPr>
        <w:ind w:left="645" w:hanging="645"/>
      </w:pPr>
      <w:rPr>
        <w:rFonts w:eastAsia="Helvetica" w:hint="default"/>
      </w:rPr>
    </w:lvl>
    <w:lvl w:ilvl="1">
      <w:start w:val="10"/>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24" w15:restartNumberingAfterBreak="0">
    <w:nsid w:val="34E147EE"/>
    <w:multiLevelType w:val="hybridMultilevel"/>
    <w:tmpl w:val="56EC1C4E"/>
    <w:lvl w:ilvl="0" w:tplc="35185DEA">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87405AC"/>
    <w:multiLevelType w:val="multilevel"/>
    <w:tmpl w:val="99F622D6"/>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0C11E7"/>
    <w:multiLevelType w:val="multilevel"/>
    <w:tmpl w:val="1304D484"/>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3F281F53"/>
    <w:multiLevelType w:val="hybridMultilevel"/>
    <w:tmpl w:val="40101F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2561D36"/>
    <w:multiLevelType w:val="multilevel"/>
    <w:tmpl w:val="8D546E0C"/>
    <w:lvl w:ilvl="0">
      <w:start w:val="2"/>
      <w:numFmt w:val="decimal"/>
      <w:lvlText w:val="%1."/>
      <w:lvlJc w:val="left"/>
      <w:pPr>
        <w:ind w:left="360"/>
      </w:pPr>
      <w:rPr>
        <w:b/>
        <w:bCs/>
      </w:rPr>
    </w:lvl>
    <w:lvl w:ilvl="1">
      <w:start w:val="1"/>
      <w:numFmt w:val="decimal"/>
      <w:lvlText w:val="%1.%2."/>
      <w:lvlJc w:val="left"/>
      <w:pPr>
        <w:ind w:left="1800" w:firstLine="1440"/>
      </w:pPr>
      <w:rPr>
        <w:b/>
        <w:bCs/>
      </w:rPr>
    </w:lvl>
    <w:lvl w:ilvl="2">
      <w:start w:val="1"/>
      <w:numFmt w:val="decimal"/>
      <w:lvlText w:val="%1.%2.%3."/>
      <w:lvlJc w:val="left"/>
      <w:pPr>
        <w:ind w:left="3600" w:firstLine="2880"/>
      </w:pPr>
      <w:rPr>
        <w:b w:val="0"/>
        <w:bCs w:val="0"/>
      </w:rPr>
    </w:lvl>
    <w:lvl w:ilvl="3">
      <w:start w:val="1"/>
      <w:numFmt w:val="decimal"/>
      <w:lvlText w:val="%1.%2.%3.%4."/>
      <w:lvlJc w:val="left"/>
      <w:pPr>
        <w:ind w:left="5040" w:firstLine="4320"/>
      </w:pPr>
      <w:rPr>
        <w:b w:val="0"/>
        <w:bCs w:val="0"/>
      </w:rPr>
    </w:lvl>
    <w:lvl w:ilvl="4">
      <w:start w:val="1"/>
      <w:numFmt w:val="decimal"/>
      <w:lvlText w:val="%1.%2.%3.%4.%5."/>
      <w:lvlJc w:val="left"/>
      <w:pPr>
        <w:ind w:left="6840" w:firstLine="5760"/>
      </w:pPr>
      <w:rPr>
        <w:b w:val="0"/>
        <w:bCs w:val="0"/>
      </w:rPr>
    </w:lvl>
    <w:lvl w:ilvl="5">
      <w:start w:val="1"/>
      <w:numFmt w:val="decimal"/>
      <w:lvlText w:val="%1.%2.%3.%4.%5.%6."/>
      <w:lvlJc w:val="left"/>
      <w:pPr>
        <w:ind w:left="8280" w:firstLine="7200"/>
      </w:pPr>
      <w:rPr>
        <w:b w:val="0"/>
        <w:bCs w:val="0"/>
      </w:rPr>
    </w:lvl>
    <w:lvl w:ilvl="6">
      <w:start w:val="1"/>
      <w:numFmt w:val="decimal"/>
      <w:lvlText w:val="%1.%2.%3.%4.%5.%6.%7."/>
      <w:lvlJc w:val="left"/>
      <w:pPr>
        <w:ind w:left="10080" w:firstLine="8640"/>
      </w:pPr>
      <w:rPr>
        <w:b w:val="0"/>
        <w:bCs w:val="0"/>
      </w:rPr>
    </w:lvl>
    <w:lvl w:ilvl="7">
      <w:start w:val="1"/>
      <w:numFmt w:val="decimal"/>
      <w:lvlText w:val="%1.%2.%3.%4.%5.%6.%7.%8."/>
      <w:lvlJc w:val="left"/>
      <w:pPr>
        <w:ind w:left="11520" w:firstLine="10080"/>
      </w:pPr>
      <w:rPr>
        <w:b w:val="0"/>
        <w:bCs w:val="0"/>
      </w:rPr>
    </w:lvl>
    <w:lvl w:ilvl="8">
      <w:start w:val="1"/>
      <w:numFmt w:val="decimal"/>
      <w:lvlText w:val="%1.%2.%3.%4.%5.%6.%7.%8.%9."/>
      <w:lvlJc w:val="left"/>
      <w:pPr>
        <w:ind w:left="13320" w:firstLine="11520"/>
      </w:pPr>
      <w:rPr>
        <w:b w:val="0"/>
        <w:bCs w:val="0"/>
      </w:rPr>
    </w:lvl>
  </w:abstractNum>
  <w:abstractNum w:abstractNumId="31" w15:restartNumberingAfterBreak="0">
    <w:nsid w:val="49342418"/>
    <w:multiLevelType w:val="multilevel"/>
    <w:tmpl w:val="DF9C051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7F2986"/>
    <w:multiLevelType w:val="hybridMultilevel"/>
    <w:tmpl w:val="268629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973437"/>
    <w:multiLevelType w:val="multilevel"/>
    <w:tmpl w:val="81B0A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439493F"/>
    <w:multiLevelType w:val="multilevel"/>
    <w:tmpl w:val="177E946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AD277AD"/>
    <w:multiLevelType w:val="hybridMultilevel"/>
    <w:tmpl w:val="194E1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BB1662A"/>
    <w:multiLevelType w:val="hybridMultilevel"/>
    <w:tmpl w:val="4AAAB87E"/>
    <w:lvl w:ilvl="0" w:tplc="3B023504">
      <w:start w:val="1"/>
      <w:numFmt w:val="lowerLetter"/>
      <w:lvlText w:val="%1)"/>
      <w:lvlJc w:val="left"/>
      <w:pPr>
        <w:ind w:left="394" w:hanging="360"/>
      </w:pPr>
      <w:rPr>
        <w:rFonts w:ascii="Times New Roman" w:eastAsia="Times New Roman" w:hAnsi="Times New Roman" w:cs="Times New Roman"/>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7" w15:restartNumberingAfterBreak="0">
    <w:nsid w:val="60BB2485"/>
    <w:multiLevelType w:val="hybridMultilevel"/>
    <w:tmpl w:val="FA9E1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9D5BEB"/>
    <w:multiLevelType w:val="multilevel"/>
    <w:tmpl w:val="22544A90"/>
    <w:lvl w:ilvl="0">
      <w:start w:val="1"/>
      <w:numFmt w:val="decimal"/>
      <w:lvlText w:val="%1."/>
      <w:lvlJc w:val="left"/>
      <w:pPr>
        <w:ind w:left="645" w:hanging="645"/>
      </w:pPr>
      <w:rPr>
        <w:rFonts w:hint="default"/>
        <w:u w:val="single"/>
      </w:rPr>
    </w:lvl>
    <w:lvl w:ilvl="1">
      <w:start w:val="10"/>
      <w:numFmt w:val="decimal"/>
      <w:lvlText w:val="%1.%2."/>
      <w:lvlJc w:val="left"/>
      <w:pPr>
        <w:ind w:left="645" w:hanging="645"/>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9" w15:restartNumberingAfterBreak="0">
    <w:nsid w:val="696055DA"/>
    <w:multiLevelType w:val="hybridMultilevel"/>
    <w:tmpl w:val="C9D6AAE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AA80A83"/>
    <w:multiLevelType w:val="hybridMultilevel"/>
    <w:tmpl w:val="E356F89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1C5D36"/>
    <w:multiLevelType w:val="hybridMultilevel"/>
    <w:tmpl w:val="576ACF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5367681"/>
    <w:multiLevelType w:val="multilevel"/>
    <w:tmpl w:val="F3361A60"/>
    <w:lvl w:ilvl="0">
      <w:start w:val="1"/>
      <w:numFmt w:val="decimal"/>
      <w:lvlText w:val="%1."/>
      <w:lvlJc w:val="left"/>
      <w:pPr>
        <w:ind w:left="645" w:hanging="645"/>
      </w:pPr>
      <w:rPr>
        <w:rFonts w:hint="default"/>
      </w:rPr>
    </w:lvl>
    <w:lvl w:ilvl="1">
      <w:start w:val="1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9314F6"/>
    <w:multiLevelType w:val="multilevel"/>
    <w:tmpl w:val="3D44E4A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360253"/>
    <w:multiLevelType w:val="hybridMultilevel"/>
    <w:tmpl w:val="A9B87848"/>
    <w:lvl w:ilvl="0" w:tplc="E1FC17C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8676C96"/>
    <w:multiLevelType w:val="multilevel"/>
    <w:tmpl w:val="D96214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660AE1"/>
    <w:multiLevelType w:val="hybridMultilevel"/>
    <w:tmpl w:val="FEE68390"/>
    <w:lvl w:ilvl="0" w:tplc="35185DEA">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D1A1FD6"/>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D224317"/>
    <w:multiLevelType w:val="multilevel"/>
    <w:tmpl w:val="9182D5CC"/>
    <w:lvl w:ilvl="0">
      <w:start w:val="1"/>
      <w:numFmt w:val="decimal"/>
      <w:lvlText w:val="%1."/>
      <w:lvlJc w:val="left"/>
      <w:pPr>
        <w:ind w:left="540" w:hanging="540"/>
      </w:pPr>
      <w:rPr>
        <w:rFonts w:hint="default"/>
        <w:u w:val="single"/>
      </w:rPr>
    </w:lvl>
    <w:lvl w:ilvl="1">
      <w:start w:val="9"/>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0"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8"/>
  </w:num>
  <w:num w:numId="6">
    <w:abstractNumId w:val="50"/>
  </w:num>
  <w:num w:numId="7">
    <w:abstractNumId w:val="16"/>
  </w:num>
  <w:num w:numId="8">
    <w:abstractNumId w:val="31"/>
  </w:num>
  <w:num w:numId="9">
    <w:abstractNumId w:val="43"/>
  </w:num>
  <w:num w:numId="10">
    <w:abstractNumId w:val="20"/>
  </w:num>
  <w:num w:numId="11">
    <w:abstractNumId w:val="2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2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5"/>
  </w:num>
  <w:num w:numId="19">
    <w:abstractNumId w:val="6"/>
  </w:num>
  <w:num w:numId="20">
    <w:abstractNumId w:val="21"/>
  </w:num>
  <w:num w:numId="21">
    <w:abstractNumId w:val="18"/>
  </w:num>
  <w:num w:numId="22">
    <w:abstractNumId w:val="34"/>
  </w:num>
  <w:num w:numId="23">
    <w:abstractNumId w:val="11"/>
  </w:num>
  <w:num w:numId="24">
    <w:abstractNumId w:val="37"/>
  </w:num>
  <w:num w:numId="25">
    <w:abstractNumId w:val="40"/>
  </w:num>
  <w:num w:numId="26">
    <w:abstractNumId w:val="17"/>
  </w:num>
  <w:num w:numId="27">
    <w:abstractNumId w:val="41"/>
  </w:num>
  <w:num w:numId="28">
    <w:abstractNumId w:val="24"/>
  </w:num>
  <w:num w:numId="29">
    <w:abstractNumId w:val="46"/>
  </w:num>
  <w:num w:numId="30">
    <w:abstractNumId w:val="22"/>
  </w:num>
  <w:num w:numId="31">
    <w:abstractNumId w:val="39"/>
  </w:num>
  <w:num w:numId="32">
    <w:abstractNumId w:val="30"/>
  </w:num>
  <w:num w:numId="33">
    <w:abstractNumId w:val="12"/>
  </w:num>
  <w:num w:numId="34">
    <w:abstractNumId w:val="13"/>
  </w:num>
  <w:num w:numId="35">
    <w:abstractNumId w:val="44"/>
  </w:num>
  <w:num w:numId="36">
    <w:abstractNumId w:val="47"/>
  </w:num>
  <w:num w:numId="37">
    <w:abstractNumId w:val="1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42"/>
  </w:num>
  <w:num w:numId="41">
    <w:abstractNumId w:val="2"/>
  </w:num>
  <w:num w:numId="42">
    <w:abstractNumId w:val="45"/>
  </w:num>
  <w:num w:numId="43">
    <w:abstractNumId w:val="19"/>
  </w:num>
  <w:num w:numId="44">
    <w:abstractNumId w:val="49"/>
  </w:num>
  <w:num w:numId="45">
    <w:abstractNumId w:val="23"/>
  </w:num>
  <w:num w:numId="46">
    <w:abstractNumId w:val="38"/>
  </w:num>
  <w:num w:numId="47">
    <w:abstractNumId w:val="25"/>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0046FC"/>
    <w:rsid w:val="00006F79"/>
    <w:rsid w:val="00015656"/>
    <w:rsid w:val="00016D80"/>
    <w:rsid w:val="000257D1"/>
    <w:rsid w:val="00025F9E"/>
    <w:rsid w:val="00037799"/>
    <w:rsid w:val="00044452"/>
    <w:rsid w:val="000516B9"/>
    <w:rsid w:val="00056363"/>
    <w:rsid w:val="00057814"/>
    <w:rsid w:val="000601AA"/>
    <w:rsid w:val="00062BE2"/>
    <w:rsid w:val="00071721"/>
    <w:rsid w:val="0008163E"/>
    <w:rsid w:val="000834D7"/>
    <w:rsid w:val="0008633C"/>
    <w:rsid w:val="00087D7E"/>
    <w:rsid w:val="00092905"/>
    <w:rsid w:val="0009641D"/>
    <w:rsid w:val="000A363F"/>
    <w:rsid w:val="000A3C9E"/>
    <w:rsid w:val="000A46AE"/>
    <w:rsid w:val="000A5CE7"/>
    <w:rsid w:val="000B3841"/>
    <w:rsid w:val="000C06BF"/>
    <w:rsid w:val="000D231E"/>
    <w:rsid w:val="000D76BA"/>
    <w:rsid w:val="000E5A4E"/>
    <w:rsid w:val="000E6E7C"/>
    <w:rsid w:val="000E6F39"/>
    <w:rsid w:val="000F3837"/>
    <w:rsid w:val="000F5112"/>
    <w:rsid w:val="000F79DF"/>
    <w:rsid w:val="001070BB"/>
    <w:rsid w:val="00112292"/>
    <w:rsid w:val="00117C72"/>
    <w:rsid w:val="00120976"/>
    <w:rsid w:val="00123C10"/>
    <w:rsid w:val="00124418"/>
    <w:rsid w:val="00124B62"/>
    <w:rsid w:val="00125868"/>
    <w:rsid w:val="00127BB9"/>
    <w:rsid w:val="00142FD5"/>
    <w:rsid w:val="0014552D"/>
    <w:rsid w:val="001469BD"/>
    <w:rsid w:val="00151247"/>
    <w:rsid w:val="001547E7"/>
    <w:rsid w:val="00162CE3"/>
    <w:rsid w:val="00164341"/>
    <w:rsid w:val="001679A5"/>
    <w:rsid w:val="00167E6F"/>
    <w:rsid w:val="001754FC"/>
    <w:rsid w:val="0018348B"/>
    <w:rsid w:val="00184FE6"/>
    <w:rsid w:val="001918F6"/>
    <w:rsid w:val="00192DAD"/>
    <w:rsid w:val="00196879"/>
    <w:rsid w:val="0019730A"/>
    <w:rsid w:val="001A3E64"/>
    <w:rsid w:val="001B105F"/>
    <w:rsid w:val="001B39D7"/>
    <w:rsid w:val="001B5DB1"/>
    <w:rsid w:val="001C1C7E"/>
    <w:rsid w:val="001D554E"/>
    <w:rsid w:val="001D7DE0"/>
    <w:rsid w:val="001E3B43"/>
    <w:rsid w:val="001E54E6"/>
    <w:rsid w:val="001F28E8"/>
    <w:rsid w:val="001F2A11"/>
    <w:rsid w:val="00201863"/>
    <w:rsid w:val="00201D43"/>
    <w:rsid w:val="002143C3"/>
    <w:rsid w:val="00217941"/>
    <w:rsid w:val="00232696"/>
    <w:rsid w:val="00235440"/>
    <w:rsid w:val="002369E0"/>
    <w:rsid w:val="00252B3C"/>
    <w:rsid w:val="00252BC6"/>
    <w:rsid w:val="00253FD9"/>
    <w:rsid w:val="0025694E"/>
    <w:rsid w:val="00256CA3"/>
    <w:rsid w:val="00256F88"/>
    <w:rsid w:val="00264B6D"/>
    <w:rsid w:val="00265246"/>
    <w:rsid w:val="00271B69"/>
    <w:rsid w:val="00272AA9"/>
    <w:rsid w:val="002772E7"/>
    <w:rsid w:val="00283A4B"/>
    <w:rsid w:val="00285D2E"/>
    <w:rsid w:val="00292BFC"/>
    <w:rsid w:val="002969B6"/>
    <w:rsid w:val="002A319A"/>
    <w:rsid w:val="002A5A18"/>
    <w:rsid w:val="002A640A"/>
    <w:rsid w:val="002B0FB2"/>
    <w:rsid w:val="002B3253"/>
    <w:rsid w:val="002B326B"/>
    <w:rsid w:val="002B5A63"/>
    <w:rsid w:val="002B5D09"/>
    <w:rsid w:val="002C5BEA"/>
    <w:rsid w:val="002D0383"/>
    <w:rsid w:val="002D38A3"/>
    <w:rsid w:val="002E11C8"/>
    <w:rsid w:val="002E1224"/>
    <w:rsid w:val="002E6CDA"/>
    <w:rsid w:val="002F1879"/>
    <w:rsid w:val="002F2C0E"/>
    <w:rsid w:val="002F77F7"/>
    <w:rsid w:val="003001BD"/>
    <w:rsid w:val="00301476"/>
    <w:rsid w:val="0030294F"/>
    <w:rsid w:val="00302FDA"/>
    <w:rsid w:val="00305CA0"/>
    <w:rsid w:val="003103EA"/>
    <w:rsid w:val="00310F59"/>
    <w:rsid w:val="00316AA1"/>
    <w:rsid w:val="0031782E"/>
    <w:rsid w:val="00331949"/>
    <w:rsid w:val="00332C81"/>
    <w:rsid w:val="00340A52"/>
    <w:rsid w:val="00340DF2"/>
    <w:rsid w:val="003471D6"/>
    <w:rsid w:val="00350D62"/>
    <w:rsid w:val="003546E8"/>
    <w:rsid w:val="003553C0"/>
    <w:rsid w:val="00360C09"/>
    <w:rsid w:val="00370F02"/>
    <w:rsid w:val="0037459F"/>
    <w:rsid w:val="00375871"/>
    <w:rsid w:val="00377423"/>
    <w:rsid w:val="003818C8"/>
    <w:rsid w:val="00381A2A"/>
    <w:rsid w:val="00382399"/>
    <w:rsid w:val="00382822"/>
    <w:rsid w:val="003903ED"/>
    <w:rsid w:val="00392495"/>
    <w:rsid w:val="00397849"/>
    <w:rsid w:val="003A080F"/>
    <w:rsid w:val="003A5E70"/>
    <w:rsid w:val="003A705A"/>
    <w:rsid w:val="003B0F15"/>
    <w:rsid w:val="003C56B4"/>
    <w:rsid w:val="003D11B1"/>
    <w:rsid w:val="003D2A11"/>
    <w:rsid w:val="003D30B6"/>
    <w:rsid w:val="003D6351"/>
    <w:rsid w:val="003E18E2"/>
    <w:rsid w:val="003F28E7"/>
    <w:rsid w:val="003F2906"/>
    <w:rsid w:val="00406EED"/>
    <w:rsid w:val="004105E1"/>
    <w:rsid w:val="00410F7F"/>
    <w:rsid w:val="00413479"/>
    <w:rsid w:val="0042068A"/>
    <w:rsid w:val="004227ED"/>
    <w:rsid w:val="00424E68"/>
    <w:rsid w:val="004323E5"/>
    <w:rsid w:val="00441F03"/>
    <w:rsid w:val="00442D65"/>
    <w:rsid w:val="00455F64"/>
    <w:rsid w:val="0046662F"/>
    <w:rsid w:val="004668C8"/>
    <w:rsid w:val="00466D0E"/>
    <w:rsid w:val="00467D91"/>
    <w:rsid w:val="004709FB"/>
    <w:rsid w:val="0047120C"/>
    <w:rsid w:val="0047337A"/>
    <w:rsid w:val="00477C07"/>
    <w:rsid w:val="00486C20"/>
    <w:rsid w:val="00491CA4"/>
    <w:rsid w:val="0049770B"/>
    <w:rsid w:val="004A35D9"/>
    <w:rsid w:val="004A5768"/>
    <w:rsid w:val="004A770D"/>
    <w:rsid w:val="004B7ABA"/>
    <w:rsid w:val="004C1867"/>
    <w:rsid w:val="004C1F9A"/>
    <w:rsid w:val="004C441E"/>
    <w:rsid w:val="004C4A79"/>
    <w:rsid w:val="004D35F0"/>
    <w:rsid w:val="004D4C2A"/>
    <w:rsid w:val="004D588F"/>
    <w:rsid w:val="004D72CC"/>
    <w:rsid w:val="004D7979"/>
    <w:rsid w:val="004E1674"/>
    <w:rsid w:val="004E3C06"/>
    <w:rsid w:val="004F1F22"/>
    <w:rsid w:val="004F2238"/>
    <w:rsid w:val="004F2C85"/>
    <w:rsid w:val="004F6E00"/>
    <w:rsid w:val="004F6F00"/>
    <w:rsid w:val="005023C0"/>
    <w:rsid w:val="005034AC"/>
    <w:rsid w:val="005048E2"/>
    <w:rsid w:val="0052252F"/>
    <w:rsid w:val="00525DDE"/>
    <w:rsid w:val="00534399"/>
    <w:rsid w:val="0053636A"/>
    <w:rsid w:val="00543877"/>
    <w:rsid w:val="00544F52"/>
    <w:rsid w:val="005522F5"/>
    <w:rsid w:val="0055341F"/>
    <w:rsid w:val="00560787"/>
    <w:rsid w:val="005618C2"/>
    <w:rsid w:val="005707E4"/>
    <w:rsid w:val="00575181"/>
    <w:rsid w:val="005772D9"/>
    <w:rsid w:val="00587553"/>
    <w:rsid w:val="00590267"/>
    <w:rsid w:val="00591EC5"/>
    <w:rsid w:val="00593273"/>
    <w:rsid w:val="0059695B"/>
    <w:rsid w:val="00597895"/>
    <w:rsid w:val="005A1694"/>
    <w:rsid w:val="005A424C"/>
    <w:rsid w:val="005A6916"/>
    <w:rsid w:val="005B0678"/>
    <w:rsid w:val="005B3382"/>
    <w:rsid w:val="005C6EDA"/>
    <w:rsid w:val="005D0DC9"/>
    <w:rsid w:val="005D32E0"/>
    <w:rsid w:val="005D3470"/>
    <w:rsid w:val="005E294C"/>
    <w:rsid w:val="005E4C88"/>
    <w:rsid w:val="005E7E85"/>
    <w:rsid w:val="006018B4"/>
    <w:rsid w:val="00601CED"/>
    <w:rsid w:val="00603CCA"/>
    <w:rsid w:val="00614DDC"/>
    <w:rsid w:val="006172B2"/>
    <w:rsid w:val="00620323"/>
    <w:rsid w:val="00623C37"/>
    <w:rsid w:val="00637B83"/>
    <w:rsid w:val="00643FC7"/>
    <w:rsid w:val="00647646"/>
    <w:rsid w:val="00652AA4"/>
    <w:rsid w:val="00652B66"/>
    <w:rsid w:val="00664E91"/>
    <w:rsid w:val="00671275"/>
    <w:rsid w:val="006760DC"/>
    <w:rsid w:val="00681BC0"/>
    <w:rsid w:val="0068577A"/>
    <w:rsid w:val="00687B97"/>
    <w:rsid w:val="00690540"/>
    <w:rsid w:val="00691E80"/>
    <w:rsid w:val="0069760F"/>
    <w:rsid w:val="006A141E"/>
    <w:rsid w:val="006A19DC"/>
    <w:rsid w:val="006B0AB5"/>
    <w:rsid w:val="006B0C62"/>
    <w:rsid w:val="006B2DF6"/>
    <w:rsid w:val="006B590F"/>
    <w:rsid w:val="006B6AC9"/>
    <w:rsid w:val="006B6FDA"/>
    <w:rsid w:val="006B78F3"/>
    <w:rsid w:val="006C2735"/>
    <w:rsid w:val="006C4085"/>
    <w:rsid w:val="006C79C8"/>
    <w:rsid w:val="006D3B9C"/>
    <w:rsid w:val="006E3C38"/>
    <w:rsid w:val="006E53EA"/>
    <w:rsid w:val="006E7390"/>
    <w:rsid w:val="006F0FDD"/>
    <w:rsid w:val="007012B5"/>
    <w:rsid w:val="00711A2D"/>
    <w:rsid w:val="00712726"/>
    <w:rsid w:val="00714249"/>
    <w:rsid w:val="007155BD"/>
    <w:rsid w:val="00716F0F"/>
    <w:rsid w:val="00722C2A"/>
    <w:rsid w:val="00740EFC"/>
    <w:rsid w:val="00744270"/>
    <w:rsid w:val="00757DC3"/>
    <w:rsid w:val="00766B4C"/>
    <w:rsid w:val="007727C5"/>
    <w:rsid w:val="00772EFA"/>
    <w:rsid w:val="007742C9"/>
    <w:rsid w:val="007841E8"/>
    <w:rsid w:val="00784963"/>
    <w:rsid w:val="00787B34"/>
    <w:rsid w:val="007917E0"/>
    <w:rsid w:val="007A1B9F"/>
    <w:rsid w:val="007A51BD"/>
    <w:rsid w:val="007B4152"/>
    <w:rsid w:val="007B6BB2"/>
    <w:rsid w:val="007C0ED4"/>
    <w:rsid w:val="007C3064"/>
    <w:rsid w:val="007C44FD"/>
    <w:rsid w:val="007C5BB7"/>
    <w:rsid w:val="007C6842"/>
    <w:rsid w:val="007C7806"/>
    <w:rsid w:val="007D0DC8"/>
    <w:rsid w:val="007D1004"/>
    <w:rsid w:val="007D229D"/>
    <w:rsid w:val="007D2B4B"/>
    <w:rsid w:val="007D4E03"/>
    <w:rsid w:val="007E5F89"/>
    <w:rsid w:val="007E5FFC"/>
    <w:rsid w:val="007F0643"/>
    <w:rsid w:val="007F73DE"/>
    <w:rsid w:val="0080187E"/>
    <w:rsid w:val="00801BB7"/>
    <w:rsid w:val="00816643"/>
    <w:rsid w:val="00816F6C"/>
    <w:rsid w:val="00816FF0"/>
    <w:rsid w:val="00817694"/>
    <w:rsid w:val="00817811"/>
    <w:rsid w:val="008179F9"/>
    <w:rsid w:val="008229D3"/>
    <w:rsid w:val="0082423A"/>
    <w:rsid w:val="0082556D"/>
    <w:rsid w:val="00841329"/>
    <w:rsid w:val="00841E0F"/>
    <w:rsid w:val="00850B02"/>
    <w:rsid w:val="00852988"/>
    <w:rsid w:val="0085708C"/>
    <w:rsid w:val="0086267E"/>
    <w:rsid w:val="00862F90"/>
    <w:rsid w:val="00867606"/>
    <w:rsid w:val="00871172"/>
    <w:rsid w:val="008719D1"/>
    <w:rsid w:val="00872410"/>
    <w:rsid w:val="008731E9"/>
    <w:rsid w:val="00876152"/>
    <w:rsid w:val="00876527"/>
    <w:rsid w:val="00882658"/>
    <w:rsid w:val="00890502"/>
    <w:rsid w:val="008941EB"/>
    <w:rsid w:val="008A0646"/>
    <w:rsid w:val="008A66B0"/>
    <w:rsid w:val="008B2B28"/>
    <w:rsid w:val="008B70BD"/>
    <w:rsid w:val="008D2CA0"/>
    <w:rsid w:val="008D6C44"/>
    <w:rsid w:val="008E2CCC"/>
    <w:rsid w:val="008E6425"/>
    <w:rsid w:val="008F2012"/>
    <w:rsid w:val="008F4DDA"/>
    <w:rsid w:val="0090193D"/>
    <w:rsid w:val="009134A0"/>
    <w:rsid w:val="00915BB7"/>
    <w:rsid w:val="00921169"/>
    <w:rsid w:val="009345EA"/>
    <w:rsid w:val="009407B3"/>
    <w:rsid w:val="009428F2"/>
    <w:rsid w:val="00944E2E"/>
    <w:rsid w:val="009521BF"/>
    <w:rsid w:val="009556F0"/>
    <w:rsid w:val="00956F31"/>
    <w:rsid w:val="009576E1"/>
    <w:rsid w:val="00962F9A"/>
    <w:rsid w:val="00963A1D"/>
    <w:rsid w:val="009643F7"/>
    <w:rsid w:val="00971B40"/>
    <w:rsid w:val="00972327"/>
    <w:rsid w:val="0097292C"/>
    <w:rsid w:val="00972D9A"/>
    <w:rsid w:val="00972E39"/>
    <w:rsid w:val="00974BFE"/>
    <w:rsid w:val="009761B4"/>
    <w:rsid w:val="009807EC"/>
    <w:rsid w:val="00987638"/>
    <w:rsid w:val="00993C25"/>
    <w:rsid w:val="009954B5"/>
    <w:rsid w:val="009A0085"/>
    <w:rsid w:val="009A0641"/>
    <w:rsid w:val="009B0606"/>
    <w:rsid w:val="009B3DCE"/>
    <w:rsid w:val="009D11E1"/>
    <w:rsid w:val="009D3CDD"/>
    <w:rsid w:val="009D5D05"/>
    <w:rsid w:val="009E1F38"/>
    <w:rsid w:val="009E2623"/>
    <w:rsid w:val="009F1A84"/>
    <w:rsid w:val="009F369E"/>
    <w:rsid w:val="00A01633"/>
    <w:rsid w:val="00A03E52"/>
    <w:rsid w:val="00A049BA"/>
    <w:rsid w:val="00A07325"/>
    <w:rsid w:val="00A1025E"/>
    <w:rsid w:val="00A1088E"/>
    <w:rsid w:val="00A10B98"/>
    <w:rsid w:val="00A111F5"/>
    <w:rsid w:val="00A1309F"/>
    <w:rsid w:val="00A1540E"/>
    <w:rsid w:val="00A24B04"/>
    <w:rsid w:val="00A268BE"/>
    <w:rsid w:val="00A30A9A"/>
    <w:rsid w:val="00A35209"/>
    <w:rsid w:val="00A35323"/>
    <w:rsid w:val="00A4387E"/>
    <w:rsid w:val="00A44472"/>
    <w:rsid w:val="00A46AFD"/>
    <w:rsid w:val="00A47A6A"/>
    <w:rsid w:val="00A51F9E"/>
    <w:rsid w:val="00A61BF1"/>
    <w:rsid w:val="00A65392"/>
    <w:rsid w:val="00A66165"/>
    <w:rsid w:val="00A7393D"/>
    <w:rsid w:val="00A751D3"/>
    <w:rsid w:val="00A7595E"/>
    <w:rsid w:val="00A8019F"/>
    <w:rsid w:val="00A80E7D"/>
    <w:rsid w:val="00A84CE4"/>
    <w:rsid w:val="00A87937"/>
    <w:rsid w:val="00A87DB4"/>
    <w:rsid w:val="00AB079F"/>
    <w:rsid w:val="00AB1ACF"/>
    <w:rsid w:val="00AB2F9B"/>
    <w:rsid w:val="00AB37CE"/>
    <w:rsid w:val="00AB5E41"/>
    <w:rsid w:val="00AC1C38"/>
    <w:rsid w:val="00AC3A82"/>
    <w:rsid w:val="00AD68D0"/>
    <w:rsid w:val="00AD6C58"/>
    <w:rsid w:val="00AD6CE5"/>
    <w:rsid w:val="00AE0596"/>
    <w:rsid w:val="00AE4C1A"/>
    <w:rsid w:val="00AE7A58"/>
    <w:rsid w:val="00AF3A3D"/>
    <w:rsid w:val="00AF54CE"/>
    <w:rsid w:val="00AF5A48"/>
    <w:rsid w:val="00AF5E28"/>
    <w:rsid w:val="00B12BB2"/>
    <w:rsid w:val="00B140CC"/>
    <w:rsid w:val="00B22AAF"/>
    <w:rsid w:val="00B23F27"/>
    <w:rsid w:val="00B36682"/>
    <w:rsid w:val="00B44F60"/>
    <w:rsid w:val="00B46350"/>
    <w:rsid w:val="00B479D2"/>
    <w:rsid w:val="00B47F00"/>
    <w:rsid w:val="00B52DA2"/>
    <w:rsid w:val="00B530DB"/>
    <w:rsid w:val="00B53CFE"/>
    <w:rsid w:val="00B65A27"/>
    <w:rsid w:val="00B6799C"/>
    <w:rsid w:val="00B7075D"/>
    <w:rsid w:val="00B70981"/>
    <w:rsid w:val="00B71BF9"/>
    <w:rsid w:val="00B7257A"/>
    <w:rsid w:val="00B82976"/>
    <w:rsid w:val="00B85A88"/>
    <w:rsid w:val="00B90B93"/>
    <w:rsid w:val="00B92E3C"/>
    <w:rsid w:val="00BA4AFC"/>
    <w:rsid w:val="00BA504F"/>
    <w:rsid w:val="00BA5567"/>
    <w:rsid w:val="00BB780D"/>
    <w:rsid w:val="00BC1E7F"/>
    <w:rsid w:val="00BC234C"/>
    <w:rsid w:val="00BC2492"/>
    <w:rsid w:val="00BC51DB"/>
    <w:rsid w:val="00BC63FA"/>
    <w:rsid w:val="00BD2FD0"/>
    <w:rsid w:val="00BD3E4F"/>
    <w:rsid w:val="00BD7AE8"/>
    <w:rsid w:val="00BE1DDD"/>
    <w:rsid w:val="00BE1FA6"/>
    <w:rsid w:val="00BE32DD"/>
    <w:rsid w:val="00BE55FF"/>
    <w:rsid w:val="00BE5F9F"/>
    <w:rsid w:val="00BF7CD8"/>
    <w:rsid w:val="00BF7E7E"/>
    <w:rsid w:val="00C053A7"/>
    <w:rsid w:val="00C06AF5"/>
    <w:rsid w:val="00C2787B"/>
    <w:rsid w:val="00C31297"/>
    <w:rsid w:val="00C33ACF"/>
    <w:rsid w:val="00C36DF3"/>
    <w:rsid w:val="00C43758"/>
    <w:rsid w:val="00C51210"/>
    <w:rsid w:val="00C57B80"/>
    <w:rsid w:val="00C61B80"/>
    <w:rsid w:val="00C64192"/>
    <w:rsid w:val="00C64589"/>
    <w:rsid w:val="00C65338"/>
    <w:rsid w:val="00C744C9"/>
    <w:rsid w:val="00C74F7C"/>
    <w:rsid w:val="00C845D1"/>
    <w:rsid w:val="00C93168"/>
    <w:rsid w:val="00CA0A18"/>
    <w:rsid w:val="00CA54B8"/>
    <w:rsid w:val="00CA7657"/>
    <w:rsid w:val="00CB62BE"/>
    <w:rsid w:val="00CC0FBC"/>
    <w:rsid w:val="00CD2D43"/>
    <w:rsid w:val="00CD6804"/>
    <w:rsid w:val="00CD6E84"/>
    <w:rsid w:val="00CE19BD"/>
    <w:rsid w:val="00CE3949"/>
    <w:rsid w:val="00CE75FF"/>
    <w:rsid w:val="00CF06AD"/>
    <w:rsid w:val="00CF3A2C"/>
    <w:rsid w:val="00CF780A"/>
    <w:rsid w:val="00D01C44"/>
    <w:rsid w:val="00D03B4E"/>
    <w:rsid w:val="00D0648F"/>
    <w:rsid w:val="00D20EB0"/>
    <w:rsid w:val="00D24678"/>
    <w:rsid w:val="00D35114"/>
    <w:rsid w:val="00D44263"/>
    <w:rsid w:val="00D44A8A"/>
    <w:rsid w:val="00D460A8"/>
    <w:rsid w:val="00D507D9"/>
    <w:rsid w:val="00D525C2"/>
    <w:rsid w:val="00D54B6C"/>
    <w:rsid w:val="00D56035"/>
    <w:rsid w:val="00D577C2"/>
    <w:rsid w:val="00D628FA"/>
    <w:rsid w:val="00D62E43"/>
    <w:rsid w:val="00D67C95"/>
    <w:rsid w:val="00D71DCC"/>
    <w:rsid w:val="00D76909"/>
    <w:rsid w:val="00D80515"/>
    <w:rsid w:val="00D91945"/>
    <w:rsid w:val="00D93CA5"/>
    <w:rsid w:val="00D94305"/>
    <w:rsid w:val="00DA1AB2"/>
    <w:rsid w:val="00DA66E7"/>
    <w:rsid w:val="00DA7405"/>
    <w:rsid w:val="00DB1D73"/>
    <w:rsid w:val="00DB6471"/>
    <w:rsid w:val="00DB72CB"/>
    <w:rsid w:val="00DB77EA"/>
    <w:rsid w:val="00DC1C16"/>
    <w:rsid w:val="00DC757E"/>
    <w:rsid w:val="00DD2FE9"/>
    <w:rsid w:val="00DD587D"/>
    <w:rsid w:val="00DD60BC"/>
    <w:rsid w:val="00DE13DF"/>
    <w:rsid w:val="00DE3D80"/>
    <w:rsid w:val="00DE68CA"/>
    <w:rsid w:val="00DF6CC9"/>
    <w:rsid w:val="00E009C8"/>
    <w:rsid w:val="00E03C44"/>
    <w:rsid w:val="00E0570C"/>
    <w:rsid w:val="00E14CCF"/>
    <w:rsid w:val="00E150FE"/>
    <w:rsid w:val="00E2011B"/>
    <w:rsid w:val="00E202C6"/>
    <w:rsid w:val="00E2037F"/>
    <w:rsid w:val="00E21A8D"/>
    <w:rsid w:val="00E3222D"/>
    <w:rsid w:val="00E32C71"/>
    <w:rsid w:val="00E33CED"/>
    <w:rsid w:val="00E36DD4"/>
    <w:rsid w:val="00E37F08"/>
    <w:rsid w:val="00E4101E"/>
    <w:rsid w:val="00E41943"/>
    <w:rsid w:val="00E44960"/>
    <w:rsid w:val="00E4517D"/>
    <w:rsid w:val="00E51E6C"/>
    <w:rsid w:val="00E53346"/>
    <w:rsid w:val="00E53F5E"/>
    <w:rsid w:val="00E56E69"/>
    <w:rsid w:val="00E6007D"/>
    <w:rsid w:val="00E6772C"/>
    <w:rsid w:val="00E74997"/>
    <w:rsid w:val="00E76162"/>
    <w:rsid w:val="00E834E5"/>
    <w:rsid w:val="00E83F7F"/>
    <w:rsid w:val="00E86BEC"/>
    <w:rsid w:val="00E86E0E"/>
    <w:rsid w:val="00E94D3C"/>
    <w:rsid w:val="00EA1CCE"/>
    <w:rsid w:val="00EA46F0"/>
    <w:rsid w:val="00EA799F"/>
    <w:rsid w:val="00EB311B"/>
    <w:rsid w:val="00EC18A1"/>
    <w:rsid w:val="00EC7BEE"/>
    <w:rsid w:val="00ED3824"/>
    <w:rsid w:val="00ED3EAB"/>
    <w:rsid w:val="00ED7FBF"/>
    <w:rsid w:val="00EE39DF"/>
    <w:rsid w:val="00EE4F84"/>
    <w:rsid w:val="00EF24D6"/>
    <w:rsid w:val="00F015B1"/>
    <w:rsid w:val="00F06937"/>
    <w:rsid w:val="00F131B5"/>
    <w:rsid w:val="00F267E5"/>
    <w:rsid w:val="00F32EB0"/>
    <w:rsid w:val="00F35C3C"/>
    <w:rsid w:val="00F36D0E"/>
    <w:rsid w:val="00F46275"/>
    <w:rsid w:val="00F50F65"/>
    <w:rsid w:val="00F625B1"/>
    <w:rsid w:val="00F70E49"/>
    <w:rsid w:val="00F738E7"/>
    <w:rsid w:val="00F75816"/>
    <w:rsid w:val="00F76693"/>
    <w:rsid w:val="00F87782"/>
    <w:rsid w:val="00F9051B"/>
    <w:rsid w:val="00FA13F5"/>
    <w:rsid w:val="00FA159D"/>
    <w:rsid w:val="00FB013E"/>
    <w:rsid w:val="00FB2870"/>
    <w:rsid w:val="00FC386A"/>
    <w:rsid w:val="00FC5E56"/>
    <w:rsid w:val="00FC64CC"/>
    <w:rsid w:val="00FE2042"/>
    <w:rsid w:val="00FE29B5"/>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874F"/>
  <w15:docId w15:val="{97058B60-A793-49DF-B444-7FF71122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aliases w:val="Footnote,Fußnote,Fußnote Char Char,Fußnote Char Char Char Char Char Char"/>
    <w:basedOn w:val="Normal"/>
    <w:link w:val="FootnoteTextChar"/>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Footnote Char,Fußnote Char,Fußnote Char Char Char,Fußnote Char Char Char Char Char Char Char"/>
    <w:basedOn w:val="DefaultParagraphFont"/>
    <w:link w:val="FootnoteText"/>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Footnote Reference Number"/>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Normal"/>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Normal"/>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Normal"/>
    <w:next w:val="Normal"/>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BodyText3">
    <w:name w:val="Body Text 3"/>
    <w:basedOn w:val="Normal"/>
    <w:link w:val="BodyText3Char"/>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uiPriority w:val="99"/>
    <w:rsid w:val="00C2787B"/>
    <w:rPr>
      <w:rFonts w:ascii="Times New Roman" w:eastAsia="Times New Roman" w:hAnsi="Times New Roman" w:cs="Times New Roman"/>
      <w:sz w:val="16"/>
      <w:szCs w:val="16"/>
      <w:lang w:eastAsia="ar-SA"/>
    </w:rPr>
  </w:style>
  <w:style w:type="character" w:customStyle="1" w:styleId="ListParagraphChar">
    <w:name w:val="List Paragraph Char"/>
    <w:aliases w:val="Saistīto dokumentu saraksts Char,Syle 1 Char"/>
    <w:link w:val="ListParagraph"/>
    <w:qFormat/>
    <w:locked/>
    <w:rsid w:val="00C2787B"/>
  </w:style>
  <w:style w:type="paragraph" w:styleId="Revision">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Normal"/>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87638"/>
    <w:rPr>
      <w:color w:val="954F72" w:themeColor="followedHyperlink"/>
      <w:u w:val="single"/>
    </w:rPr>
  </w:style>
  <w:style w:type="character" w:customStyle="1" w:styleId="st">
    <w:name w:val="st"/>
    <w:basedOn w:val="DefaultParagraphFont"/>
    <w:rsid w:val="009576E1"/>
  </w:style>
  <w:style w:type="character" w:styleId="Strong">
    <w:name w:val="Strong"/>
    <w:basedOn w:val="DefaultParagraphFont"/>
    <w:uiPriority w:val="22"/>
    <w:qFormat/>
    <w:rsid w:val="009576E1"/>
    <w:rPr>
      <w:b/>
      <w:bCs/>
    </w:rPr>
  </w:style>
  <w:style w:type="paragraph" w:styleId="PlainText">
    <w:name w:val="Plain Text"/>
    <w:basedOn w:val="Normal"/>
    <w:link w:val="PlainTextChar"/>
    <w:uiPriority w:val="99"/>
    <w:unhideWhenUsed/>
    <w:rsid w:val="00711A2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1A2D"/>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05542015">
      <w:bodyDiv w:val="1"/>
      <w:marLeft w:val="0"/>
      <w:marRight w:val="0"/>
      <w:marTop w:val="0"/>
      <w:marBottom w:val="0"/>
      <w:divBdr>
        <w:top w:val="none" w:sz="0" w:space="0" w:color="auto"/>
        <w:left w:val="none" w:sz="0" w:space="0" w:color="auto"/>
        <w:bottom w:val="none" w:sz="0" w:space="0" w:color="auto"/>
        <w:right w:val="none" w:sz="0" w:space="0" w:color="auto"/>
      </w:divBdr>
      <w:divsChild>
        <w:div w:id="727463617">
          <w:marLeft w:val="0"/>
          <w:marRight w:val="0"/>
          <w:marTop w:val="0"/>
          <w:marBottom w:val="0"/>
          <w:divBdr>
            <w:top w:val="none" w:sz="0" w:space="0" w:color="auto"/>
            <w:left w:val="none" w:sz="0" w:space="0" w:color="auto"/>
            <w:bottom w:val="none" w:sz="0" w:space="0" w:color="auto"/>
            <w:right w:val="none" w:sz="0" w:space="0" w:color="auto"/>
          </w:divBdr>
        </w:div>
      </w:divsChild>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IS/Publications/PublicationView.aspx?PublicationId=8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is.gov.lv/EKEIS/Supplier/"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6CC62-14E0-4325-BD1B-69752EAB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7908</Words>
  <Characters>4509</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Ādažu slimnīca PSIA</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Dzintars Kronbergs</dc:creator>
  <cp:lastModifiedBy>Dzintars Kronbergs</cp:lastModifiedBy>
  <cp:revision>5</cp:revision>
  <cp:lastPrinted>2017-06-19T06:32:00Z</cp:lastPrinted>
  <dcterms:created xsi:type="dcterms:W3CDTF">2017-12-21T07:25:00Z</dcterms:created>
  <dcterms:modified xsi:type="dcterms:W3CDTF">2017-12-21T12:08:00Z</dcterms:modified>
</cp:coreProperties>
</file>